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D8" w:rsidRPr="007E4002" w:rsidRDefault="005833D8" w:rsidP="007026B2">
      <w:pPr>
        <w:spacing w:line="240" w:lineRule="auto"/>
        <w:ind w:left="595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E4002">
        <w:rPr>
          <w:rFonts w:ascii="Times New Roman" w:hAnsi="Times New Roman"/>
          <w:b/>
          <w:i/>
          <w:sz w:val="28"/>
          <w:szCs w:val="28"/>
          <w:lang w:val="uk-UA"/>
        </w:rPr>
        <w:t>Підготувала</w:t>
      </w:r>
    </w:p>
    <w:p w:rsidR="005833D8" w:rsidRPr="007E4002" w:rsidRDefault="005833D8" w:rsidP="007026B2">
      <w:pPr>
        <w:spacing w:line="240" w:lineRule="auto"/>
        <w:ind w:left="595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E4002">
        <w:rPr>
          <w:rFonts w:ascii="Times New Roman" w:hAnsi="Times New Roman"/>
          <w:b/>
          <w:i/>
          <w:sz w:val="28"/>
          <w:szCs w:val="28"/>
          <w:lang w:val="uk-UA"/>
        </w:rPr>
        <w:t>студентка групи ФБ-14-1</w:t>
      </w:r>
      <w:r w:rsidR="003161E1">
        <w:rPr>
          <w:rFonts w:ascii="Times New Roman" w:hAnsi="Times New Roman"/>
          <w:b/>
          <w:i/>
          <w:sz w:val="28"/>
          <w:szCs w:val="28"/>
          <w:lang w:val="uk-UA"/>
        </w:rPr>
        <w:t xml:space="preserve"> УДФС</w:t>
      </w:r>
    </w:p>
    <w:p w:rsidR="005833D8" w:rsidRPr="007E4002" w:rsidRDefault="005833D8" w:rsidP="007026B2">
      <w:pPr>
        <w:spacing w:line="240" w:lineRule="auto"/>
        <w:ind w:left="595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E4002">
        <w:rPr>
          <w:rFonts w:ascii="Times New Roman" w:hAnsi="Times New Roman"/>
          <w:b/>
          <w:i/>
          <w:sz w:val="28"/>
          <w:szCs w:val="28"/>
          <w:lang w:val="uk-UA"/>
        </w:rPr>
        <w:t>Качула Анастасія</w:t>
      </w:r>
    </w:p>
    <w:p w:rsidR="005E4BCF" w:rsidRPr="007E4002" w:rsidRDefault="005833D8" w:rsidP="00495DC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4002">
        <w:rPr>
          <w:rFonts w:ascii="Times New Roman" w:hAnsi="Times New Roman"/>
          <w:b/>
          <w:sz w:val="28"/>
          <w:szCs w:val="28"/>
          <w:lang w:val="uk-UA"/>
        </w:rPr>
        <w:t>ПРОБЛЕМИ РОЗВИТКУ  РИНКУ ПРАЦІ В УКРАЇНІ</w:t>
      </w:r>
    </w:p>
    <w:p w:rsidR="00617006" w:rsidRPr="007E4002" w:rsidRDefault="004B25A4" w:rsidP="007E40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 xml:space="preserve">Враховуючи сучасні умови глобалізації економіки, входження України до Європейського Союзу, а також економічні та політичні процеси, які </w:t>
      </w:r>
      <w:r w:rsidR="00617006" w:rsidRPr="007E4002">
        <w:rPr>
          <w:rFonts w:ascii="Times New Roman" w:hAnsi="Times New Roman"/>
          <w:sz w:val="28"/>
          <w:szCs w:val="28"/>
          <w:lang w:val="uk-UA"/>
        </w:rPr>
        <w:t>в</w:t>
      </w:r>
      <w:r w:rsidRPr="007E4002">
        <w:rPr>
          <w:rFonts w:ascii="Times New Roman" w:hAnsi="Times New Roman"/>
          <w:sz w:val="28"/>
          <w:szCs w:val="28"/>
          <w:lang w:val="uk-UA"/>
        </w:rPr>
        <w:t>ідбуваються сьогодні в Україні, потрібен постійний моніторинг та аналіз ринку праці України</w:t>
      </w:r>
      <w:r w:rsidR="007E4002" w:rsidRPr="007E4002">
        <w:rPr>
          <w:rFonts w:ascii="Times New Roman" w:hAnsi="Times New Roman"/>
          <w:sz w:val="28"/>
          <w:szCs w:val="28"/>
          <w:lang w:val="uk-UA"/>
        </w:rPr>
        <w:t>.</w:t>
      </w:r>
    </w:p>
    <w:p w:rsidR="00495DC8" w:rsidRPr="007E4002" w:rsidRDefault="00617006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 xml:space="preserve">Однією з найважливіших проблем на ринку праці України є безробіття. </w:t>
      </w:r>
      <w:r w:rsidR="00495DC8" w:rsidRPr="007E4002">
        <w:rPr>
          <w:rFonts w:ascii="Times New Roman" w:hAnsi="Times New Roman"/>
          <w:sz w:val="28"/>
          <w:szCs w:val="28"/>
          <w:lang w:val="uk-UA"/>
        </w:rPr>
        <w:t>Основними причинами безробіття є: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низький рівень заробітної плати, яку пропонують роботодавці;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невідповідність системи підготовки фахівців потребам ринку праці;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політичні та економічні події, що відбуваються в країні та в світі;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нераціональна структура галузевої зайнятості, істотне перевищення пропозиції робочої сили над попитом;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незадоволеність умовами праці;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- обмежені можливості кар’єрного зростання, відсутність перспектив і можливостей поліпшення кваліфікації [1].</w:t>
      </w:r>
    </w:p>
    <w:p w:rsidR="00495DC8" w:rsidRPr="007E4002" w:rsidRDefault="00495DC8" w:rsidP="003236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 xml:space="preserve">Динаміка чисельності безробітних та рівень зареєстрованого безробіття в Україні впродовж 2010-2015 рр. представлені у табл.1.  </w:t>
      </w:r>
    </w:p>
    <w:p w:rsidR="00323636" w:rsidRPr="007E4002" w:rsidRDefault="00323636" w:rsidP="00495DC8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/>
          <w:b/>
          <w:bCs/>
          <w:color w:val="333333"/>
          <w:sz w:val="28"/>
          <w:szCs w:val="20"/>
          <w:lang w:val="uk-UA"/>
        </w:rPr>
      </w:pPr>
    </w:p>
    <w:p w:rsidR="00323636" w:rsidRPr="007E4002" w:rsidRDefault="00323636" w:rsidP="00495DC8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/>
          <w:b/>
          <w:bCs/>
          <w:color w:val="333333"/>
          <w:sz w:val="28"/>
          <w:szCs w:val="20"/>
          <w:lang w:val="uk-UA"/>
        </w:rPr>
      </w:pPr>
    </w:p>
    <w:p w:rsidR="00495DC8" w:rsidRPr="007E4002" w:rsidRDefault="00495DC8" w:rsidP="00495DC8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/>
          <w:b/>
          <w:bCs/>
          <w:color w:val="333333"/>
          <w:sz w:val="28"/>
          <w:szCs w:val="20"/>
          <w:lang w:val="uk-UA"/>
        </w:rPr>
      </w:pPr>
      <w:r w:rsidRPr="007E4002">
        <w:rPr>
          <w:rFonts w:ascii="Times New Roman" w:hAnsi="Times New Roman"/>
          <w:b/>
          <w:bCs/>
          <w:color w:val="333333"/>
          <w:sz w:val="28"/>
          <w:szCs w:val="20"/>
          <w:lang w:val="uk-UA"/>
        </w:rPr>
        <w:t>Таблиця 1</w:t>
      </w:r>
    </w:p>
    <w:p w:rsidR="00495DC8" w:rsidRPr="007E4002" w:rsidRDefault="00495DC8" w:rsidP="00E268F7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color w:val="333333"/>
          <w:sz w:val="28"/>
          <w:szCs w:val="28"/>
          <w:lang w:val="en-US"/>
        </w:rPr>
      </w:pPr>
      <w:r w:rsidRPr="007E4002">
        <w:rPr>
          <w:rFonts w:ascii="Times New Roman" w:hAnsi="Times New Roman"/>
          <w:b/>
          <w:sz w:val="28"/>
          <w:szCs w:val="28"/>
          <w:lang w:val="uk-UA"/>
        </w:rPr>
        <w:t>Динаміка чисельності безробітних та рівень зареєстрованого безробіття в Україні впродовж 2010-2015 рр.</w:t>
      </w:r>
      <w:r w:rsidR="00B6197B" w:rsidRPr="007E40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197B" w:rsidRPr="007E4002">
        <w:rPr>
          <w:rFonts w:ascii="Times New Roman" w:hAnsi="Times New Roman"/>
          <w:b/>
          <w:sz w:val="28"/>
          <w:szCs w:val="28"/>
          <w:lang w:val="en-US"/>
        </w:rPr>
        <w:t>[2]</w:t>
      </w:r>
    </w:p>
    <w:tbl>
      <w:tblPr>
        <w:tblW w:w="5519" w:type="pct"/>
        <w:tblInd w:w="-699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993"/>
        <w:gridCol w:w="707"/>
        <w:gridCol w:w="991"/>
        <w:gridCol w:w="709"/>
        <w:gridCol w:w="1133"/>
        <w:gridCol w:w="757"/>
        <w:gridCol w:w="943"/>
        <w:gridCol w:w="567"/>
        <w:gridCol w:w="851"/>
        <w:gridCol w:w="615"/>
        <w:gridCol w:w="802"/>
        <w:gridCol w:w="425"/>
      </w:tblGrid>
      <w:tr w:rsidR="00186AF3" w:rsidRPr="007E4002" w:rsidTr="007E4002">
        <w:tc>
          <w:tcPr>
            <w:tcW w:w="855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Економічно активне населення</w:t>
            </w:r>
          </w:p>
        </w:tc>
        <w:tc>
          <w:tcPr>
            <w:tcW w:w="6093" w:type="dxa"/>
            <w:gridSpan w:val="8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тому числі</w:t>
            </w:r>
          </w:p>
        </w:tc>
      </w:tr>
      <w:tr w:rsidR="00186AF3" w:rsidRPr="007E4002" w:rsidTr="007E4002">
        <w:tc>
          <w:tcPr>
            <w:tcW w:w="855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186AF3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віці 15-70 років</w:t>
            </w:r>
          </w:p>
        </w:tc>
        <w:tc>
          <w:tcPr>
            <w:tcW w:w="1700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працездатного віку</w:t>
            </w:r>
          </w:p>
        </w:tc>
        <w:tc>
          <w:tcPr>
            <w:tcW w:w="3400" w:type="dxa"/>
            <w:gridSpan w:val="4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зайняте населення</w:t>
            </w:r>
          </w:p>
        </w:tc>
        <w:tc>
          <w:tcPr>
            <w:tcW w:w="2693" w:type="dxa"/>
            <w:gridSpan w:val="4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безробітне населення (за методологією МОП)</w:t>
            </w:r>
          </w:p>
        </w:tc>
      </w:tr>
      <w:tr w:rsidR="00E268F7" w:rsidRPr="007E4002" w:rsidTr="007E4002">
        <w:tc>
          <w:tcPr>
            <w:tcW w:w="855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186AF3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населення відповідної вікової групи</w:t>
            </w:r>
          </w:p>
        </w:tc>
        <w:tc>
          <w:tcPr>
            <w:tcW w:w="991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населення відповідної вікової групи</w:t>
            </w:r>
          </w:p>
        </w:tc>
        <w:tc>
          <w:tcPr>
            <w:tcW w:w="1890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віці 15-70 років</w:t>
            </w:r>
          </w:p>
        </w:tc>
        <w:tc>
          <w:tcPr>
            <w:tcW w:w="1510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працездатного віку</w:t>
            </w:r>
          </w:p>
        </w:tc>
        <w:tc>
          <w:tcPr>
            <w:tcW w:w="1466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віці 15-70 років</w:t>
            </w:r>
          </w:p>
        </w:tc>
        <w:tc>
          <w:tcPr>
            <w:tcW w:w="1227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працездатного віку</w:t>
            </w:r>
          </w:p>
        </w:tc>
      </w:tr>
      <w:tr w:rsidR="004A75D1" w:rsidRPr="007E4002" w:rsidTr="007E4002">
        <w:tc>
          <w:tcPr>
            <w:tcW w:w="855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186AF3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7E400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7E400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7E400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hideMark/>
          </w:tcPr>
          <w:p w:rsidR="00186AF3" w:rsidRPr="007E4002" w:rsidRDefault="00186AF3" w:rsidP="007E400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населення відповідної вікової групи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населення відповідної вікової групи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економічно активного населення відповідної вікової групи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 xml:space="preserve">в середньому, </w:t>
            </w:r>
            <w:proofErr w:type="spellStart"/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у % до економічно активного населення відповідної вікової групи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  <w:lang w:val="uk-UA"/>
              </w:rPr>
              <w:t>2010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20 894,1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63,6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19 164,0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71,9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19 180,2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58,4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17 451,5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65,5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1 713,9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8,2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1 712,5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8,9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  <w:lang w:val="uk-UA"/>
              </w:rPr>
              <w:t>2011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20 893,0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64,2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19 181,7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72,6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19 231,1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59,1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17 520,8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66,3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1 661,9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8,0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1 660,9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8,7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20 851,2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64,5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19 317,8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72,9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19 261,4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59,6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17 728,6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66,9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1 589,8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7,6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1 589,2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8,2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</w:rPr>
              <w:t>2013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20 824,6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64,9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19 399,7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72,9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19 314,2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60,2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17 889,4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67,3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1 510,4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7,3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1 510,3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7,8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19 920,9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62,4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19 035,2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71,4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18 073,3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56,6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17 188,1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64,5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1 847,6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9,3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1 847,1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9,7</w:t>
            </w:r>
          </w:p>
        </w:tc>
      </w:tr>
      <w:tr w:rsidR="004A75D1" w:rsidRPr="007E4002" w:rsidTr="007E4002">
        <w:tc>
          <w:tcPr>
            <w:tcW w:w="8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AF3" w:rsidRPr="007E4002" w:rsidRDefault="00186AF3" w:rsidP="0018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0"/>
                <w:szCs w:val="20"/>
              </w:rPr>
              <w:t>2015</w:t>
            </w:r>
          </w:p>
        </w:tc>
        <w:tc>
          <w:tcPr>
            <w:tcW w:w="99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18 097,9</w:t>
            </w:r>
          </w:p>
        </w:tc>
        <w:tc>
          <w:tcPr>
            <w:tcW w:w="70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62,4</w:t>
            </w:r>
          </w:p>
        </w:tc>
        <w:tc>
          <w:tcPr>
            <w:tcW w:w="99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17 396,0</w:t>
            </w:r>
          </w:p>
        </w:tc>
        <w:tc>
          <w:tcPr>
            <w:tcW w:w="70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71,5</w:t>
            </w:r>
          </w:p>
        </w:tc>
        <w:tc>
          <w:tcPr>
            <w:tcW w:w="113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16 443,2</w:t>
            </w:r>
          </w:p>
        </w:tc>
        <w:tc>
          <w:tcPr>
            <w:tcW w:w="75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56,7</w:t>
            </w:r>
          </w:p>
        </w:tc>
        <w:tc>
          <w:tcPr>
            <w:tcW w:w="94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15 742,0</w:t>
            </w:r>
          </w:p>
        </w:tc>
        <w:tc>
          <w:tcPr>
            <w:tcW w:w="567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64,7</w:t>
            </w:r>
          </w:p>
        </w:tc>
        <w:tc>
          <w:tcPr>
            <w:tcW w:w="8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1 654,7</w:t>
            </w:r>
          </w:p>
        </w:tc>
        <w:tc>
          <w:tcPr>
            <w:tcW w:w="61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9,1</w:t>
            </w:r>
          </w:p>
        </w:tc>
        <w:tc>
          <w:tcPr>
            <w:tcW w:w="80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1 654,0</w:t>
            </w:r>
          </w:p>
        </w:tc>
        <w:tc>
          <w:tcPr>
            <w:tcW w:w="42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noWrap/>
            <w:tcMar>
              <w:top w:w="0" w:type="dxa"/>
              <w:bottom w:w="0" w:type="dxa"/>
            </w:tcMar>
            <w:hideMark/>
          </w:tcPr>
          <w:p w:rsidR="00186AF3" w:rsidRPr="007E4002" w:rsidRDefault="00186AF3" w:rsidP="007E4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9,5</w:t>
            </w:r>
          </w:p>
        </w:tc>
      </w:tr>
    </w:tbl>
    <w:p w:rsidR="00E268F7" w:rsidRPr="007E4002" w:rsidRDefault="00E268F7" w:rsidP="00E268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Рівень безробіття в середньому (за методологією МОП) стрімко збільшився до 9,7% у 2014 році, а в 2015 році – зменшився на 0,2</w:t>
      </w:r>
      <w:r w:rsidR="004F0974" w:rsidRPr="007E4002">
        <w:rPr>
          <w:rFonts w:ascii="Times New Roman" w:hAnsi="Times New Roman"/>
          <w:sz w:val="28"/>
          <w:szCs w:val="28"/>
          <w:lang w:val="uk-UA"/>
        </w:rPr>
        <w:t>%. Зокрема, рівень безробіття у 2015 році збільшився на 0,6%, порівняно з 2010 роком.</w:t>
      </w:r>
    </w:p>
    <w:p w:rsidR="00ED3E01" w:rsidRPr="007E4002" w:rsidRDefault="004F0974" w:rsidP="00ED3E0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За даними української статистики рівень безробіття в Україні за підсумками 2014 року становив 1,9% загальної кі</w:t>
      </w:r>
      <w:r w:rsidR="00ED3E01" w:rsidRPr="007E4002">
        <w:rPr>
          <w:rFonts w:ascii="Times New Roman" w:hAnsi="Times New Roman"/>
          <w:sz w:val="28"/>
          <w:szCs w:val="28"/>
          <w:lang w:val="uk-UA"/>
        </w:rPr>
        <w:t xml:space="preserve">лькості працездатного населення. За січень 2016 року кількість офіційно зареєстрованих безробітних в Україні збільшилася на 17,8 тисячі осіб – до 508,6 тисячі. На ринку праці роботодавці пропонують 31,3 тисячі вакансій, тобто на одне місце претендують 16 осіб </w:t>
      </w:r>
      <w:r w:rsidR="00ED3E01" w:rsidRPr="007E4002">
        <w:rPr>
          <w:rFonts w:ascii="Times New Roman" w:hAnsi="Times New Roman"/>
          <w:sz w:val="28"/>
          <w:szCs w:val="28"/>
        </w:rPr>
        <w:t>[2].</w:t>
      </w:r>
    </w:p>
    <w:p w:rsidR="004A090D" w:rsidRPr="007E4002" w:rsidRDefault="004A090D" w:rsidP="00ED3E0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002">
        <w:rPr>
          <w:rFonts w:ascii="Times New Roman" w:hAnsi="Times New Roman"/>
          <w:sz w:val="28"/>
          <w:szCs w:val="28"/>
        </w:rPr>
        <w:t>На</w:t>
      </w:r>
      <w:proofErr w:type="gram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4002">
        <w:rPr>
          <w:rFonts w:ascii="Times New Roman" w:hAnsi="Times New Roman"/>
          <w:sz w:val="28"/>
          <w:szCs w:val="28"/>
        </w:rPr>
        <w:t>ринку</w:t>
      </w:r>
      <w:proofErr w:type="gram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праці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також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можна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виділити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такі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актуальні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як: проблема </w:t>
      </w:r>
      <w:proofErr w:type="spellStart"/>
      <w:r w:rsidRPr="007E4002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7E4002">
        <w:rPr>
          <w:rFonts w:ascii="Times New Roman" w:hAnsi="Times New Roman"/>
          <w:sz w:val="28"/>
          <w:szCs w:val="28"/>
        </w:rPr>
        <w:t>праці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E4002">
        <w:rPr>
          <w:rFonts w:ascii="Times New Roman" w:hAnsi="Times New Roman"/>
          <w:sz w:val="28"/>
          <w:szCs w:val="28"/>
        </w:rPr>
        <w:lastRenderedPageBreak/>
        <w:t>відтворення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людського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потенціалу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E4002">
        <w:rPr>
          <w:rFonts w:ascii="Times New Roman" w:hAnsi="Times New Roman"/>
          <w:sz w:val="28"/>
          <w:szCs w:val="28"/>
        </w:rPr>
        <w:t>гендерної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диференціації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доходів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E4002">
        <w:rPr>
          <w:rFonts w:ascii="Times New Roman" w:hAnsi="Times New Roman"/>
          <w:sz w:val="28"/>
          <w:szCs w:val="28"/>
        </w:rPr>
        <w:t>інші</w:t>
      </w:r>
      <w:proofErr w:type="spellEnd"/>
      <w:r w:rsidRPr="007E4002">
        <w:rPr>
          <w:rFonts w:ascii="Times New Roman" w:hAnsi="Times New Roman"/>
          <w:sz w:val="28"/>
          <w:szCs w:val="28"/>
        </w:rPr>
        <w:t>.</w:t>
      </w:r>
    </w:p>
    <w:p w:rsidR="008B35BA" w:rsidRPr="007E4002" w:rsidRDefault="0069768F" w:rsidP="00ED3E0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Проблема</w:t>
      </w:r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конкурентоспромож</w:t>
      </w:r>
      <w:r w:rsidRPr="007E4002">
        <w:rPr>
          <w:rFonts w:ascii="Times New Roman" w:hAnsi="Times New Roman"/>
          <w:sz w:val="28"/>
          <w:szCs w:val="28"/>
        </w:rPr>
        <w:t>ності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002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7E4002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7E4002">
        <w:rPr>
          <w:rFonts w:ascii="Times New Roman" w:hAnsi="Times New Roman"/>
          <w:sz w:val="28"/>
          <w:szCs w:val="28"/>
        </w:rPr>
        <w:t>праці</w:t>
      </w:r>
      <w:proofErr w:type="spellEnd"/>
      <w:r w:rsidRPr="007E4002">
        <w:rPr>
          <w:rFonts w:ascii="Times New Roman" w:hAnsi="Times New Roman"/>
          <w:sz w:val="28"/>
          <w:szCs w:val="28"/>
          <w:lang w:val="uk-UA"/>
        </w:rPr>
        <w:t xml:space="preserve"> впливає на його розвиток в цілому.</w:t>
      </w:r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r w:rsidR="008B35BA" w:rsidRPr="007E4002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учасний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розвитку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економіки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України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трансформаційними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процесами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, </w:t>
      </w:r>
      <w:r w:rsidR="008B35BA" w:rsidRPr="007E4002">
        <w:rPr>
          <w:rFonts w:ascii="Times New Roman" w:hAnsi="Times New Roman"/>
          <w:sz w:val="28"/>
          <w:szCs w:val="28"/>
          <w:lang w:val="uk-UA"/>
        </w:rPr>
        <w:t>які можуть позитивно вплинути на якісно новий</w:t>
      </w:r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рівень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робочої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сили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її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0D" w:rsidRPr="007E4002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="004A090D" w:rsidRPr="007E4002">
        <w:rPr>
          <w:rFonts w:ascii="Times New Roman" w:hAnsi="Times New Roman"/>
          <w:sz w:val="28"/>
          <w:szCs w:val="28"/>
        </w:rPr>
        <w:t xml:space="preserve">. </w:t>
      </w:r>
    </w:p>
    <w:p w:rsidR="004A090D" w:rsidRPr="007E4002" w:rsidRDefault="004A090D" w:rsidP="00ED3E0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002">
        <w:rPr>
          <w:rFonts w:ascii="Times New Roman" w:hAnsi="Times New Roman"/>
          <w:sz w:val="28"/>
          <w:szCs w:val="28"/>
          <w:lang w:val="uk-UA"/>
        </w:rPr>
        <w:t>На сьогодні в Україні просліджується тенденція невідповідності кількості безробітних, зареєстрованих у державній службі зайнятості, кількості найнятих робітників, які скористалися послугами служби зайнятості, та потребі у робочий силі (рис.1).</w:t>
      </w:r>
    </w:p>
    <w:p w:rsidR="008B35BA" w:rsidRPr="007E4002" w:rsidRDefault="00453DAE" w:rsidP="00ED3E01">
      <w:pPr>
        <w:spacing w:line="36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7E4002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732673" cy="3693226"/>
            <wp:effectExtent l="19050" t="0" r="20427" b="2474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B35BA" w:rsidRPr="007E4002">
        <w:rPr>
          <w:rFonts w:ascii="Times New Roman" w:hAnsi="Times New Roman"/>
          <w:sz w:val="24"/>
          <w:szCs w:val="28"/>
          <w:lang w:val="uk-UA"/>
        </w:rPr>
        <w:t xml:space="preserve">Складена </w:t>
      </w:r>
      <w:r w:rsidR="00B6197B" w:rsidRPr="007E4002">
        <w:rPr>
          <w:rFonts w:ascii="Times New Roman" w:hAnsi="Times New Roman"/>
          <w:sz w:val="24"/>
          <w:szCs w:val="28"/>
          <w:lang w:val="uk-UA"/>
        </w:rPr>
        <w:t>на основі джерел</w:t>
      </w:r>
      <w:r w:rsidR="008B35BA" w:rsidRPr="007E4002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35BA" w:rsidRPr="007E4002">
        <w:rPr>
          <w:rFonts w:ascii="Times New Roman" w:hAnsi="Times New Roman"/>
          <w:sz w:val="24"/>
          <w:szCs w:val="28"/>
        </w:rPr>
        <w:t>[</w:t>
      </w:r>
      <w:r w:rsidR="00B6197B" w:rsidRPr="007E4002">
        <w:rPr>
          <w:rFonts w:ascii="Times New Roman" w:hAnsi="Times New Roman"/>
          <w:sz w:val="24"/>
          <w:szCs w:val="28"/>
        </w:rPr>
        <w:t>2</w:t>
      </w:r>
      <w:r w:rsidR="008B35BA" w:rsidRPr="007E4002">
        <w:rPr>
          <w:rFonts w:ascii="Times New Roman" w:hAnsi="Times New Roman"/>
          <w:sz w:val="24"/>
          <w:szCs w:val="28"/>
        </w:rPr>
        <w:t>]</w:t>
      </w:r>
      <w:r w:rsidR="00B6197B" w:rsidRPr="007E4002">
        <w:rPr>
          <w:rFonts w:ascii="Times New Roman" w:hAnsi="Times New Roman"/>
          <w:sz w:val="24"/>
          <w:szCs w:val="28"/>
        </w:rPr>
        <w:t>, [3]</w:t>
      </w:r>
      <w:r w:rsidR="00B6197B" w:rsidRPr="007E4002">
        <w:rPr>
          <w:rFonts w:ascii="Times New Roman" w:hAnsi="Times New Roman"/>
          <w:sz w:val="24"/>
          <w:szCs w:val="28"/>
          <w:lang w:val="uk-UA"/>
        </w:rPr>
        <w:t>.</w:t>
      </w:r>
    </w:p>
    <w:p w:rsidR="00937A60" w:rsidRPr="007E4002" w:rsidRDefault="00937A60" w:rsidP="007E4002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/>
          <w:sz w:val="28"/>
          <w:szCs w:val="24"/>
          <w:lang w:val="uk-UA"/>
        </w:rPr>
        <w:t xml:space="preserve">Рис.1. </w:t>
      </w: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 xml:space="preserve">Динаміка безробітного населення, зареєстрованого у державній службі зайнятості та потреба в робочий силі в Україні </w:t>
      </w:r>
      <w:r w:rsidR="003C7B3E"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br/>
      </w: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>в 2010-2015 рр.</w:t>
      </w:r>
    </w:p>
    <w:p w:rsidR="00B066F3" w:rsidRPr="007E4002" w:rsidRDefault="00B066F3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lastRenderedPageBreak/>
        <w:t>Важливо, що е</w:t>
      </w:r>
      <w:r w:rsidR="00492BA0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фективність праці залежить, у першу чергу, від рівня оплати праці, який повинен відповідати кваліфікації і творчому внеску працівника в роботу підприємства. </w:t>
      </w:r>
    </w:p>
    <w:p w:rsidR="00B8190B" w:rsidRPr="007E4002" w:rsidRDefault="00B8190B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0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Динаміка середньомісячної зарплати у 2010-2015 років (у розрахунку на одного штатного працівника, грн.) має такий вигляд: у 2010 році заробітна плата становила </w:t>
      </w:r>
      <w:r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 xml:space="preserve">2250 грн., у 2011 р. - 2648 грн., у 2012 р. – 3041 грн., у 2013 р. </w:t>
      </w:r>
      <w:r w:rsidR="00D57224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–</w:t>
      </w:r>
      <w:r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 xml:space="preserve"> </w:t>
      </w:r>
      <w:r w:rsidR="00D57224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 xml:space="preserve">3282 грн., у 2014 р. – 3480 грн., у 2015 р. – 4195 </w:t>
      </w:r>
      <w:proofErr w:type="spellStart"/>
      <w:r w:rsidR="00D57224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грн</w:t>
      </w:r>
      <w:proofErr w:type="spellEnd"/>
      <w:r w:rsidR="00B066F3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 xml:space="preserve"> </w:t>
      </w:r>
      <w:r w:rsidR="00B066F3" w:rsidRPr="007E4002">
        <w:rPr>
          <w:rFonts w:ascii="Times New Roman" w:hAnsi="Times New Roman"/>
          <w:bCs/>
          <w:color w:val="000000"/>
          <w:sz w:val="28"/>
          <w:szCs w:val="20"/>
        </w:rPr>
        <w:t>[</w:t>
      </w:r>
      <w:r w:rsidR="00B6197B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2</w:t>
      </w:r>
      <w:r w:rsidR="00B066F3" w:rsidRPr="007E4002">
        <w:rPr>
          <w:rFonts w:ascii="Times New Roman" w:hAnsi="Times New Roman"/>
          <w:bCs/>
          <w:color w:val="000000"/>
          <w:sz w:val="28"/>
          <w:szCs w:val="20"/>
        </w:rPr>
        <w:t>]</w:t>
      </w:r>
      <w:r w:rsidR="00D57224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.</w:t>
      </w:r>
      <w:r w:rsidR="00D57224" w:rsidRPr="007E4002">
        <w:rPr>
          <w:rFonts w:ascii="Times New Roman" w:hAnsi="Times New Roman"/>
          <w:b/>
          <w:bCs/>
          <w:color w:val="000000"/>
          <w:sz w:val="28"/>
          <w:szCs w:val="20"/>
          <w:lang w:val="uk-UA"/>
        </w:rPr>
        <w:t xml:space="preserve"> </w:t>
      </w:r>
      <w:r w:rsidR="00D57224"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Отож бачимо тенденцію до зростання середньомісячної зарплати. У 2015 році зарплата зросла на 1945 грн., порівняно з 2010 роком.</w:t>
      </w:r>
    </w:p>
    <w:p w:rsidR="00D57224" w:rsidRPr="007E4002" w:rsidRDefault="00D57224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000000"/>
          <w:sz w:val="28"/>
          <w:szCs w:val="20"/>
          <w:lang w:val="uk-UA"/>
        </w:rPr>
        <w:t>Темпи зростання номінальної та реальної заробітної плати показані у таблиці 2.</w:t>
      </w:r>
    </w:p>
    <w:p w:rsidR="00B8190B" w:rsidRPr="007E4002" w:rsidRDefault="00B8190B" w:rsidP="00B8190B">
      <w:pPr>
        <w:spacing w:line="360" w:lineRule="auto"/>
        <w:jc w:val="right"/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>Таблиця 2</w:t>
      </w:r>
    </w:p>
    <w:p w:rsidR="00492BA0" w:rsidRPr="007E4002" w:rsidRDefault="00492BA0" w:rsidP="00492BA0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val="uk-UA"/>
        </w:rPr>
      </w:pPr>
      <w:proofErr w:type="spellStart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>Темпи</w:t>
      </w:r>
      <w:proofErr w:type="spellEnd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>зростання</w:t>
      </w:r>
      <w:proofErr w:type="spellEnd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>номінальної</w:t>
      </w:r>
      <w:proofErr w:type="spellEnd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 xml:space="preserve"> та </w:t>
      </w:r>
      <w:proofErr w:type="spellStart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>реальної</w:t>
      </w:r>
      <w:proofErr w:type="spellEnd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>заробітної</w:t>
      </w:r>
      <w:proofErr w:type="spellEnd"/>
      <w:r w:rsidRPr="007E4002">
        <w:rPr>
          <w:rFonts w:ascii="Times New Roman" w:hAnsi="Times New Roman"/>
          <w:b/>
          <w:bCs/>
          <w:color w:val="000000"/>
          <w:sz w:val="28"/>
          <w:szCs w:val="24"/>
        </w:rPr>
        <w:t xml:space="preserve"> плати</w:t>
      </w:r>
      <w:r w:rsidR="00B066F3" w:rsidRPr="007E4002"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  <w:t xml:space="preserve"> </w:t>
      </w:r>
      <w:r w:rsidR="00B066F3" w:rsidRPr="007E4002">
        <w:rPr>
          <w:rFonts w:ascii="Times New Roman" w:hAnsi="Times New Roman"/>
          <w:b/>
          <w:bCs/>
          <w:color w:val="000000"/>
          <w:sz w:val="28"/>
          <w:szCs w:val="24"/>
        </w:rPr>
        <w:t>[</w:t>
      </w:r>
      <w:r w:rsidR="00B6197B" w:rsidRPr="007E4002"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  <w:t>2</w:t>
      </w:r>
      <w:r w:rsidR="00B066F3" w:rsidRPr="007E4002">
        <w:rPr>
          <w:rFonts w:ascii="Times New Roman" w:hAnsi="Times New Roman"/>
          <w:b/>
          <w:bCs/>
          <w:color w:val="000000"/>
          <w:sz w:val="28"/>
          <w:szCs w:val="24"/>
        </w:rPr>
        <w:t>]</w:t>
      </w:r>
    </w:p>
    <w:p w:rsidR="00492BA0" w:rsidRPr="007E4002" w:rsidRDefault="00492BA0" w:rsidP="00492BA0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7E4002">
        <w:rPr>
          <w:rFonts w:ascii="Times New Roman" w:hAnsi="Times New Roman"/>
          <w:color w:val="000000"/>
          <w:sz w:val="20"/>
          <w:szCs w:val="20"/>
        </w:rPr>
        <w:t>(</w:t>
      </w:r>
      <w:r w:rsidRPr="007E4002">
        <w:rPr>
          <w:rFonts w:ascii="Times New Roman" w:hAnsi="Times New Roman"/>
          <w:color w:val="000000"/>
          <w:sz w:val="20"/>
          <w:szCs w:val="20"/>
          <w:lang w:val="en-US"/>
        </w:rPr>
        <w:t>%</w:t>
      </w:r>
      <w:r w:rsidRPr="007E4002">
        <w:rPr>
          <w:rFonts w:ascii="Times New Roman" w:hAnsi="Times New Roman"/>
          <w:color w:val="000000"/>
          <w:sz w:val="20"/>
          <w:szCs w:val="20"/>
        </w:rPr>
        <w:t>)</w:t>
      </w:r>
    </w:p>
    <w:tbl>
      <w:tblPr>
        <w:tblW w:w="49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2187"/>
        <w:gridCol w:w="2187"/>
        <w:gridCol w:w="2187"/>
        <w:gridCol w:w="2194"/>
      </w:tblGrid>
      <w:tr w:rsidR="00492BA0" w:rsidRPr="007E4002" w:rsidTr="00492BA0">
        <w:trPr>
          <w:tblCellSpacing w:w="7" w:type="dxa"/>
        </w:trPr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Номінальна заробітна плата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Реальна заробітна плата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до попереднього року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грудень до грудня попереднього року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до попереднього року</w:t>
            </w:r>
          </w:p>
        </w:tc>
        <w:tc>
          <w:tcPr>
            <w:tcW w:w="5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грудень до грудня попереднього року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117,6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117,9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110,2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110,5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117,7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116,2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108,7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111,0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114,8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110,5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114,4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111,1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107,9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107,2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108,2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106,7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106,0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110,4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93,5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  <w:lang w:val="uk-UA"/>
              </w:rPr>
              <w:t>86,4</w:t>
            </w:r>
          </w:p>
        </w:tc>
      </w:tr>
      <w:tr w:rsidR="00492BA0" w:rsidRPr="007E4002" w:rsidTr="00492BA0">
        <w:trPr>
          <w:tblCellSpacing w:w="7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BA0" w:rsidRPr="007E4002" w:rsidRDefault="00492BA0" w:rsidP="0049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b/>
                <w:bCs/>
                <w:sz w:val="24"/>
                <w:szCs w:val="20"/>
                <w:lang w:val="uk-UA"/>
              </w:rPr>
              <w:t>2015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</w:rPr>
              <w:t>120,5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</w:rPr>
              <w:t>130,4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</w:rPr>
              <w:t>79,8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2BA0" w:rsidRPr="007E4002" w:rsidRDefault="00492BA0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E4002">
              <w:rPr>
                <w:rFonts w:ascii="Times New Roman" w:hAnsi="Times New Roman"/>
                <w:sz w:val="24"/>
                <w:szCs w:val="20"/>
              </w:rPr>
              <w:t>90,1</w:t>
            </w:r>
          </w:p>
        </w:tc>
      </w:tr>
    </w:tbl>
    <w:p w:rsidR="00492BA0" w:rsidRPr="007E4002" w:rsidRDefault="00492BA0" w:rsidP="00492B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Дані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за 2010-2014 роки наведено без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урахування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тимчасово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окупованої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території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АР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Крим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та м.</w:t>
      </w:r>
      <w:r w:rsidRPr="007E4002">
        <w:rPr>
          <w:rFonts w:ascii="Times New Roman" w:hAnsi="Times New Roman"/>
          <w:color w:val="000000"/>
          <w:sz w:val="24"/>
          <w:szCs w:val="20"/>
          <w:lang w:val="uk-UA"/>
        </w:rPr>
        <w:t> </w:t>
      </w:r>
      <w:r w:rsidRPr="007E4002">
        <w:rPr>
          <w:rFonts w:ascii="Times New Roman" w:hAnsi="Times New Roman"/>
          <w:color w:val="000000"/>
          <w:sz w:val="24"/>
          <w:szCs w:val="20"/>
        </w:rPr>
        <w:t xml:space="preserve">Севастополя, за 2015 </w:t>
      </w:r>
      <w:proofErr w:type="spellStart"/>
      <w:proofErr w:type="gramStart"/>
      <w:r w:rsidRPr="007E4002">
        <w:rPr>
          <w:rFonts w:ascii="Times New Roman" w:hAnsi="Times New Roman"/>
          <w:color w:val="000000"/>
          <w:sz w:val="24"/>
          <w:szCs w:val="20"/>
        </w:rPr>
        <w:t>р</w:t>
      </w:r>
      <w:proofErr w:type="gramEnd"/>
      <w:r w:rsidRPr="007E4002">
        <w:rPr>
          <w:rFonts w:ascii="Times New Roman" w:hAnsi="Times New Roman"/>
          <w:color w:val="000000"/>
          <w:sz w:val="24"/>
          <w:szCs w:val="20"/>
        </w:rPr>
        <w:t>ік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–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також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без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частини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зони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проведення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антитерористичної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 xml:space="preserve"> </w:t>
      </w:r>
      <w:proofErr w:type="spellStart"/>
      <w:r w:rsidRPr="007E4002">
        <w:rPr>
          <w:rFonts w:ascii="Times New Roman" w:hAnsi="Times New Roman"/>
          <w:color w:val="000000"/>
          <w:sz w:val="24"/>
          <w:szCs w:val="20"/>
        </w:rPr>
        <w:t>операції</w:t>
      </w:r>
      <w:proofErr w:type="spellEnd"/>
      <w:r w:rsidRPr="007E4002">
        <w:rPr>
          <w:rFonts w:ascii="Times New Roman" w:hAnsi="Times New Roman"/>
          <w:color w:val="000000"/>
          <w:sz w:val="24"/>
          <w:szCs w:val="20"/>
        </w:rPr>
        <w:t>.</w:t>
      </w:r>
    </w:p>
    <w:p w:rsidR="00B8190B" w:rsidRPr="007E4002" w:rsidRDefault="00B8190B" w:rsidP="00492BA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2BA0" w:rsidRPr="007E4002" w:rsidRDefault="00D57224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Отож номінальна заробітна плата протягом 2010-2015рр. зростала, але в 2014 році зменшилася на 1,9 %, порівняно з попереднім 2013 роком. В цілому з 2010 року номінальна заробітна плата зросла </w:t>
      </w:r>
      <w:r w:rsidR="00B13BCE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на 2,9%. Щодо реальної заробітної плати, то вона є зовсім непостійна. У 2015 році реальна заробітна плата зменшилася на 13,7%, порівняно з 2014 році. Скорочення середньої </w:t>
      </w:r>
      <w:r w:rsidR="00B13BCE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lastRenderedPageBreak/>
        <w:t>заробітної плати та падіння реальних доходів населення України в цілому є факторами наростання напруженості в соціальній сфері.</w:t>
      </w:r>
    </w:p>
    <w:p w:rsidR="00B13BCE" w:rsidRPr="007E4002" w:rsidRDefault="00B13BCE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Серед гострих проблем, які сьогодні перешкоджають природному формуванню та відтворенню людського потенціалу України, слід виділити наступні:</w:t>
      </w:r>
    </w:p>
    <w:p w:rsidR="00B13BCE" w:rsidRPr="007E4002" w:rsidRDefault="00B13BCE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·   демографічна криза. Україна, яка в минулому традиційно відзначалась високим рівнем природного відтворення населення, перетворилась у країну з найнижчим природним приростом і в 1993 р. ввійшла у стадію депопуляції населення;</w:t>
      </w:r>
    </w:p>
    <w:p w:rsidR="00B13BCE" w:rsidRPr="007E4002" w:rsidRDefault="00B13BCE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·   гальмування відтворювального процесу людського потенціалу та скорочення частки працездатного населення пов’язане також зі значними обсягами еміграції;</w:t>
      </w:r>
    </w:p>
    <w:p w:rsidR="00B13BCE" w:rsidRPr="007E4002" w:rsidRDefault="00B13BCE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·   складність ситуації посилюється ще й станом здоров'я нації, яке є важливим індикатором якості людського потенціалу та основною умовою його формування та відтворення;</w:t>
      </w:r>
    </w:p>
    <w:p w:rsidR="00B13BCE" w:rsidRPr="007E4002" w:rsidRDefault="00B13BCE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·   доволі хитке фінансове підґрунтя відтворення людського потенціалу. Вітчизняна економіка характеризується низьким рівнем оплати праці й інших грошових виплат. Більшість населення країни живе за межею бідності, а заробітна плата не забезпечує навіть простого відтворення робочої сили</w:t>
      </w:r>
      <w:r w:rsidR="00B066F3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</w:t>
      </w:r>
      <w:r w:rsidR="00B066F3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[</w:t>
      </w:r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1</w:t>
      </w:r>
      <w:r w:rsidR="00B066F3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]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.</w:t>
      </w:r>
    </w:p>
    <w:p w:rsidR="008A744F" w:rsidRPr="007E4002" w:rsidRDefault="00B066F3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До того ж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актуальною проблемою на ринку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праці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залишається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гендерн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а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диференц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іації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доходів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населення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України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.</w:t>
      </w:r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Заробітна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плата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чолові</w:t>
      </w:r>
      <w:proofErr w:type="gram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к</w:t>
      </w:r>
      <w:proofErr w:type="gram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ів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залишається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значно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вищою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,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ніж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у </w:t>
      </w:r>
      <w:proofErr w:type="spellStart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жінок</w:t>
      </w:r>
      <w:proofErr w:type="spellEnd"/>
      <w:r w:rsidR="008A744F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(рис.2).</w:t>
      </w:r>
    </w:p>
    <w:p w:rsidR="008A744F" w:rsidRPr="007E4002" w:rsidRDefault="008A744F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noProof/>
          <w:color w:val="333333"/>
          <w:sz w:val="28"/>
          <w:szCs w:val="24"/>
          <w:shd w:val="clear" w:color="auto" w:fill="FFFFFF"/>
          <w:lang w:val="uk-UA" w:eastAsia="uk-UA"/>
        </w:rPr>
        <w:lastRenderedPageBreak/>
        <w:drawing>
          <wp:inline distT="0" distB="0" distL="0" distR="0">
            <wp:extent cx="5727593" cy="2826327"/>
            <wp:effectExtent l="19050" t="0" r="2550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66F3" w:rsidRPr="007E4002" w:rsidRDefault="00B066F3" w:rsidP="00B13BCE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Складена на основі </w:t>
      </w:r>
      <w:r w:rsidR="00B6197B" w:rsidRPr="007E4002">
        <w:rPr>
          <w:rFonts w:ascii="Times New Roman" w:hAnsi="Times New Roman"/>
          <w:sz w:val="24"/>
          <w:szCs w:val="28"/>
          <w:lang w:val="uk-UA"/>
        </w:rPr>
        <w:t xml:space="preserve">джерел </w:t>
      </w:r>
      <w:r w:rsidR="00B6197B" w:rsidRPr="007E4002">
        <w:rPr>
          <w:rFonts w:ascii="Times New Roman" w:hAnsi="Times New Roman"/>
          <w:sz w:val="24"/>
          <w:szCs w:val="28"/>
        </w:rPr>
        <w:t>[2], [3]</w:t>
      </w:r>
      <w:r w:rsidR="00B6197B" w:rsidRPr="007E4002">
        <w:rPr>
          <w:rFonts w:ascii="Times New Roman" w:hAnsi="Times New Roman"/>
          <w:sz w:val="24"/>
          <w:szCs w:val="28"/>
          <w:lang w:val="uk-UA"/>
        </w:rPr>
        <w:t>.</w:t>
      </w:r>
    </w:p>
    <w:p w:rsidR="003C7B3E" w:rsidRPr="007E4002" w:rsidRDefault="003C7B3E" w:rsidP="007E4002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>Рис.2.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</w:t>
      </w:r>
      <w:r w:rsidRPr="007E4002">
        <w:rPr>
          <w:rFonts w:ascii="Times New Roman" w:hAnsi="Times New Roman"/>
          <w:b/>
          <w:bCs/>
          <w:color w:val="2B2B2B"/>
          <w:sz w:val="28"/>
          <w:szCs w:val="24"/>
          <w:lang w:val="uk-UA"/>
        </w:rPr>
        <w:t>Середньомісячна заробітна плата жінок та чоловіків за видами економічної діяльності у</w:t>
      </w:r>
      <w:r w:rsidRPr="007E4002">
        <w:rPr>
          <w:rStyle w:val="apple-converted-space"/>
          <w:rFonts w:ascii="Times New Roman" w:hAnsi="Times New Roman"/>
          <w:b/>
          <w:bCs/>
          <w:color w:val="2B2B2B"/>
          <w:sz w:val="28"/>
          <w:szCs w:val="24"/>
          <w:lang w:val="uk-UA"/>
        </w:rPr>
        <w:t> 2012-2015рр.</w:t>
      </w:r>
    </w:p>
    <w:p w:rsidR="00B13BCE" w:rsidRPr="007E4002" w:rsidRDefault="00BF3B4A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Загалом у 2015 році заробітна плата чоловіків була на 1 217 грн</w:t>
      </w:r>
      <w:r w:rsidR="00B066F3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.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більша, ніж у жінок. Співвідношення заробітних плат залишається значним протягом 2012-2015 рр.</w:t>
      </w:r>
    </w:p>
    <w:p w:rsidR="00BF3B4A" w:rsidRPr="007E4002" w:rsidRDefault="00E85BA7" w:rsidP="00492BA0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В цілому</w:t>
      </w:r>
      <w:r w:rsidR="0094600A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концентрація жінок в галузях і професіях 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виявляється </w:t>
      </w:r>
      <w:r w:rsidR="0094600A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із нижчим рівнем оплати праці. 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Розмір</w:t>
      </w:r>
      <w:r w:rsidR="0094600A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середньої заробітної плати жінок є нижчим навіть там, де переважає жіноча праця. Крім того, кількість зареєстрованих безробітних серед жінок більша, ніж чоловіків, що теж впливає на розмір доходів (табл.3).</w:t>
      </w:r>
    </w:p>
    <w:p w:rsidR="0094600A" w:rsidRPr="007E4002" w:rsidRDefault="0094600A" w:rsidP="0094600A">
      <w:pPr>
        <w:spacing w:line="360" w:lineRule="auto"/>
        <w:ind w:firstLine="567"/>
        <w:jc w:val="right"/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>Таблиця 3</w:t>
      </w:r>
    </w:p>
    <w:p w:rsidR="0094600A" w:rsidRPr="007E4002" w:rsidRDefault="0094600A" w:rsidP="0094600A">
      <w:pPr>
        <w:spacing w:after="0" w:line="240" w:lineRule="auto"/>
        <w:jc w:val="center"/>
        <w:rPr>
          <w:rFonts w:ascii="Times New Roman" w:hAnsi="Times New Roman"/>
          <w:color w:val="2B2B2B"/>
          <w:sz w:val="24"/>
          <w:szCs w:val="24"/>
        </w:rPr>
      </w:pPr>
      <w:proofErr w:type="spellStart"/>
      <w:proofErr w:type="gram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Р</w:t>
      </w:r>
      <w:proofErr w:type="gram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івень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безробіття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населення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(за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методологією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МОП) за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статтю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,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віковими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групами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та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місцем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>проживання</w:t>
      </w:r>
      <w:proofErr w:type="spellEnd"/>
      <w:r w:rsidRPr="007E4002">
        <w:rPr>
          <w:rFonts w:ascii="Times New Roman" w:hAnsi="Times New Roman"/>
          <w:b/>
          <w:bCs/>
          <w:color w:val="2B2B2B"/>
          <w:sz w:val="28"/>
          <w:szCs w:val="24"/>
        </w:rPr>
        <w:t xml:space="preserve"> </w:t>
      </w:r>
      <w:r w:rsidRPr="007E4002">
        <w:rPr>
          <w:rFonts w:ascii="Times New Roman" w:hAnsi="Times New Roman"/>
          <w:b/>
          <w:bCs/>
          <w:color w:val="2B2B2B"/>
          <w:sz w:val="24"/>
          <w:szCs w:val="24"/>
        </w:rPr>
        <w:t xml:space="preserve">у 2015 </w:t>
      </w:r>
      <w:proofErr w:type="spellStart"/>
      <w:r w:rsidRPr="007E4002">
        <w:rPr>
          <w:rFonts w:ascii="Times New Roman" w:hAnsi="Times New Roman"/>
          <w:b/>
          <w:bCs/>
          <w:color w:val="2B2B2B"/>
          <w:sz w:val="24"/>
          <w:szCs w:val="24"/>
        </w:rPr>
        <w:t>році</w:t>
      </w:r>
      <w:proofErr w:type="spellEnd"/>
      <w:r w:rsidR="00B6197B" w:rsidRPr="007E4002">
        <w:rPr>
          <w:rFonts w:ascii="Times New Roman" w:hAnsi="Times New Roman"/>
          <w:b/>
          <w:bCs/>
          <w:color w:val="2B2B2B"/>
          <w:sz w:val="24"/>
          <w:szCs w:val="24"/>
          <w:lang w:val="uk-UA"/>
        </w:rPr>
        <w:t xml:space="preserve"> </w:t>
      </w:r>
      <w:r w:rsidR="00B6197B" w:rsidRPr="007E4002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B6197B" w:rsidRPr="007E4002">
        <w:rPr>
          <w:rFonts w:ascii="Times New Roman" w:hAnsi="Times New Roman"/>
          <w:b/>
          <w:sz w:val="28"/>
          <w:szCs w:val="28"/>
        </w:rPr>
        <w:t>[2]</w:t>
      </w:r>
      <w:r w:rsidRPr="007E4002">
        <w:rPr>
          <w:rFonts w:ascii="Times New Roman" w:hAnsi="Times New Roman"/>
          <w:b/>
          <w:bCs/>
          <w:color w:val="2B2B2B"/>
          <w:sz w:val="24"/>
          <w:szCs w:val="24"/>
          <w:vertAlign w:val="superscript"/>
          <w:lang w:val="uk-UA"/>
        </w:rPr>
        <w:t>1</w:t>
      </w:r>
    </w:p>
    <w:p w:rsidR="0094600A" w:rsidRPr="007E4002" w:rsidRDefault="0094600A" w:rsidP="0094600A">
      <w:pPr>
        <w:spacing w:after="0" w:line="240" w:lineRule="auto"/>
        <w:jc w:val="right"/>
        <w:rPr>
          <w:rFonts w:ascii="Times New Roman" w:hAnsi="Times New Roman"/>
          <w:color w:val="2B2B2B"/>
          <w:sz w:val="24"/>
          <w:szCs w:val="24"/>
        </w:rPr>
      </w:pPr>
      <w:r w:rsidRPr="007E4002">
        <w:rPr>
          <w:rFonts w:ascii="Times New Roman" w:hAnsi="Times New Roman"/>
          <w:color w:val="000000"/>
          <w:sz w:val="24"/>
          <w:szCs w:val="20"/>
          <w:lang w:val="uk-UA"/>
        </w:rPr>
        <w:t>(у середньому за період, у % до кількості економічно активного населення відповідної вікової групи)</w:t>
      </w:r>
    </w:p>
    <w:tbl>
      <w:tblPr>
        <w:tblW w:w="5000" w:type="pct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1081"/>
        <w:gridCol w:w="769"/>
        <w:gridCol w:w="768"/>
        <w:gridCol w:w="768"/>
        <w:gridCol w:w="733"/>
        <w:gridCol w:w="768"/>
        <w:gridCol w:w="768"/>
        <w:gridCol w:w="766"/>
        <w:gridCol w:w="1797"/>
      </w:tblGrid>
      <w:tr w:rsidR="0094600A" w:rsidRPr="007E4002" w:rsidTr="0094600A">
        <w:tc>
          <w:tcPr>
            <w:tcW w:w="1901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010" w:type="dxa"/>
            <w:gridSpan w:val="7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тому числі за віковими групами, років</w:t>
            </w:r>
          </w:p>
        </w:tc>
        <w:tc>
          <w:tcPr>
            <w:tcW w:w="1901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Працездатного віку</w:t>
            </w:r>
            <w:r w:rsidRPr="007E4002">
              <w:rPr>
                <w:rFonts w:ascii="Times New Roman" w:hAnsi="Times New Roman"/>
                <w:color w:val="2B2B2B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94600A" w:rsidRPr="007E4002" w:rsidTr="0094600A">
        <w:tc>
          <w:tcPr>
            <w:tcW w:w="0" w:type="auto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15–24</w:t>
            </w:r>
          </w:p>
        </w:tc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25–29</w:t>
            </w:r>
          </w:p>
        </w:tc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30–34</w:t>
            </w:r>
          </w:p>
        </w:tc>
        <w:tc>
          <w:tcPr>
            <w:tcW w:w="213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35-39</w:t>
            </w:r>
          </w:p>
        </w:tc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40–49</w:t>
            </w:r>
          </w:p>
        </w:tc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50–59</w:t>
            </w:r>
          </w:p>
        </w:tc>
        <w:tc>
          <w:tcPr>
            <w:tcW w:w="188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60–70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vAlign w:val="center"/>
            <w:hideMark/>
          </w:tcPr>
          <w:p w:rsidR="0094600A" w:rsidRPr="007E4002" w:rsidRDefault="0094600A" w:rsidP="0094600A">
            <w:pPr>
              <w:spacing w:after="0" w:line="240" w:lineRule="auto"/>
              <w:rPr>
                <w:rFonts w:ascii="Times New Roman" w:hAnsi="Times New Roman"/>
                <w:color w:val="2B2B2B"/>
                <w:sz w:val="24"/>
                <w:szCs w:val="24"/>
              </w:rPr>
            </w:pPr>
          </w:p>
        </w:tc>
      </w:tr>
      <w:tr w:rsidR="0094600A" w:rsidRPr="007E4002" w:rsidTr="0094600A"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  <w:lang w:val="uk-UA"/>
              </w:rPr>
              <w:t>Все населення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22,4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11,2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9,7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7,2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7,6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6,3</w:t>
            </w:r>
          </w:p>
        </w:tc>
        <w:tc>
          <w:tcPr>
            <w:tcW w:w="21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0,1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9,5</w:t>
            </w:r>
          </w:p>
        </w:tc>
      </w:tr>
      <w:tr w:rsidR="0094600A" w:rsidRPr="007E4002" w:rsidTr="0094600A"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8,1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21,9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10,8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8,4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6,7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4,6</w:t>
            </w:r>
          </w:p>
        </w:tc>
        <w:tc>
          <w:tcPr>
            <w:tcW w:w="21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0,0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8,5</w:t>
            </w:r>
          </w:p>
        </w:tc>
      </w:tr>
      <w:tr w:rsidR="0094600A" w:rsidRPr="007E4002" w:rsidTr="0094600A"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чоловіки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22,7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11,4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10,8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7,7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8,1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7,9</w:t>
            </w:r>
          </w:p>
        </w:tc>
        <w:tc>
          <w:tcPr>
            <w:tcW w:w="21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0,1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10,4</w:t>
            </w:r>
          </w:p>
        </w:tc>
      </w:tr>
      <w:tr w:rsidR="0094600A" w:rsidRPr="007E4002" w:rsidTr="0094600A"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міські поселення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9,0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23,5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10,8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9,4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7,5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7,6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6,3</w:t>
            </w:r>
          </w:p>
        </w:tc>
        <w:tc>
          <w:tcPr>
            <w:tcW w:w="21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0,1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9,3</w:t>
            </w:r>
          </w:p>
        </w:tc>
      </w:tr>
      <w:tr w:rsidR="0094600A" w:rsidRPr="007E4002" w:rsidTr="0094600A">
        <w:tc>
          <w:tcPr>
            <w:tcW w:w="190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сільська місцевість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9,4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20,7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12,0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10,8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6,6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7,6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6,4</w:t>
            </w:r>
          </w:p>
        </w:tc>
        <w:tc>
          <w:tcPr>
            <w:tcW w:w="2151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0" w:type="dxa"/>
              <w:bottom w:w="0" w:type="dxa"/>
            </w:tcMar>
            <w:vAlign w:val="bottom"/>
            <w:hideMark/>
          </w:tcPr>
          <w:p w:rsidR="0094600A" w:rsidRPr="007E4002" w:rsidRDefault="0094600A" w:rsidP="007026B2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4"/>
                <w:szCs w:val="24"/>
              </w:rPr>
            </w:pPr>
            <w:r w:rsidRPr="007E4002">
              <w:rPr>
                <w:rFonts w:ascii="Times New Roman" w:hAnsi="Times New Roman"/>
                <w:color w:val="2B2B2B"/>
                <w:sz w:val="24"/>
                <w:szCs w:val="24"/>
              </w:rPr>
              <w:t>9,9</w:t>
            </w:r>
          </w:p>
        </w:tc>
      </w:tr>
    </w:tbl>
    <w:p w:rsidR="0094600A" w:rsidRPr="007E4002" w:rsidRDefault="0094600A" w:rsidP="0094600A">
      <w:pPr>
        <w:spacing w:after="0" w:line="240" w:lineRule="auto"/>
        <w:jc w:val="both"/>
        <w:rPr>
          <w:rFonts w:ascii="Times New Roman" w:hAnsi="Times New Roman"/>
          <w:color w:val="2B2B2B"/>
          <w:sz w:val="24"/>
          <w:szCs w:val="24"/>
        </w:rPr>
      </w:pPr>
      <w:r w:rsidRPr="007E4002">
        <w:rPr>
          <w:rFonts w:ascii="Times New Roman" w:hAnsi="Times New Roman"/>
          <w:color w:val="2B2B2B"/>
          <w:sz w:val="24"/>
          <w:szCs w:val="24"/>
          <w:vertAlign w:val="superscript"/>
          <w:lang w:val="uk-UA"/>
        </w:rPr>
        <w:t>1 </w:t>
      </w:r>
      <w:r w:rsidRPr="007E4002">
        <w:rPr>
          <w:rFonts w:ascii="Times New Roman" w:hAnsi="Times New Roman"/>
          <w:color w:val="2B2B2B"/>
          <w:sz w:val="24"/>
          <w:szCs w:val="24"/>
          <w:lang w:val="uk-UA"/>
        </w:rPr>
        <w:t>Без урахування тимчасово окупованої території Автономної Республіки Крим, м. Севастополя та частини зони проведення антитерористичної операції.</w:t>
      </w:r>
    </w:p>
    <w:p w:rsidR="0094600A" w:rsidRPr="007E4002" w:rsidRDefault="0094600A" w:rsidP="0094600A">
      <w:pPr>
        <w:spacing w:after="0" w:line="240" w:lineRule="auto"/>
        <w:jc w:val="both"/>
        <w:rPr>
          <w:rFonts w:ascii="Times New Roman" w:hAnsi="Times New Roman"/>
          <w:color w:val="2B2B2B"/>
          <w:sz w:val="24"/>
          <w:szCs w:val="24"/>
          <w:lang w:val="uk-UA"/>
        </w:rPr>
      </w:pPr>
      <w:r w:rsidRPr="007E4002">
        <w:rPr>
          <w:rFonts w:ascii="Times New Roman" w:hAnsi="Times New Roman"/>
          <w:color w:val="2B2B2B"/>
          <w:sz w:val="24"/>
          <w:szCs w:val="24"/>
          <w:vertAlign w:val="superscript"/>
          <w:lang w:val="uk-UA"/>
        </w:rPr>
        <w:t>2</w:t>
      </w:r>
      <w:r w:rsidRPr="007E4002">
        <w:rPr>
          <w:rFonts w:ascii="Times New Roman" w:hAnsi="Times New Roman"/>
          <w:color w:val="2B2B2B"/>
          <w:sz w:val="24"/>
          <w:szCs w:val="24"/>
          <w:lang w:val="uk-UA"/>
        </w:rPr>
        <w:t> Жінки віком 15 - 5</w:t>
      </w:r>
      <w:r w:rsidRPr="007E4002">
        <w:rPr>
          <w:rFonts w:ascii="Times New Roman" w:hAnsi="Times New Roman"/>
          <w:color w:val="2B2B2B"/>
          <w:sz w:val="24"/>
          <w:szCs w:val="24"/>
        </w:rPr>
        <w:t>8</w:t>
      </w:r>
      <w:r w:rsidRPr="007E4002">
        <w:rPr>
          <w:rFonts w:ascii="Times New Roman" w:hAnsi="Times New Roman"/>
          <w:color w:val="2B2B2B"/>
          <w:sz w:val="24"/>
          <w:szCs w:val="24"/>
          <w:lang w:val="uk-UA"/>
        </w:rPr>
        <w:t> роки, чоловіки - 15 - </w:t>
      </w:r>
      <w:r w:rsidRPr="007E4002">
        <w:rPr>
          <w:rFonts w:ascii="Times New Roman" w:hAnsi="Times New Roman"/>
          <w:color w:val="2B2B2B"/>
          <w:sz w:val="24"/>
          <w:szCs w:val="24"/>
        </w:rPr>
        <w:t>59</w:t>
      </w:r>
      <w:r w:rsidRPr="007E4002">
        <w:rPr>
          <w:rFonts w:ascii="Times New Roman" w:hAnsi="Times New Roman"/>
          <w:color w:val="2B2B2B"/>
          <w:sz w:val="24"/>
          <w:szCs w:val="24"/>
          <w:lang w:val="uk-UA"/>
        </w:rPr>
        <w:t> років.</w:t>
      </w:r>
    </w:p>
    <w:p w:rsidR="007026B2" w:rsidRPr="007E4002" w:rsidRDefault="007026B2" w:rsidP="0094600A">
      <w:pPr>
        <w:spacing w:after="0" w:line="240" w:lineRule="auto"/>
        <w:jc w:val="both"/>
        <w:rPr>
          <w:rFonts w:ascii="Times New Roman" w:hAnsi="Times New Roman"/>
          <w:color w:val="2B2B2B"/>
          <w:sz w:val="24"/>
          <w:szCs w:val="24"/>
        </w:rPr>
      </w:pPr>
    </w:p>
    <w:p w:rsidR="0094600A" w:rsidRPr="007E4002" w:rsidRDefault="0094600A" w:rsidP="0094600A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Ще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одним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важливим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чинником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гендерної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диференціації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є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умови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праці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.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Законодавство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про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працю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в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Україні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забороняє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використання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праці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жінок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на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важких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шкідливих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роботах. Але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варто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зазначити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,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що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у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поліграфічній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,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медичній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,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легкій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промисловості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близько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70%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зайнятих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на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шкідливих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виробництва</w:t>
      </w:r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х</w:t>
      </w:r>
      <w:proofErr w:type="spellEnd"/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– </w:t>
      </w:r>
      <w:proofErr w:type="spellStart"/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жінки</w:t>
      </w:r>
      <w:proofErr w:type="spellEnd"/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 [1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 xml:space="preserve">, с. </w:t>
      </w:r>
      <w:r w:rsidR="00B6197B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56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].</w:t>
      </w:r>
    </w:p>
    <w:p w:rsidR="007026B2" w:rsidRPr="007E4002" w:rsidRDefault="007026B2" w:rsidP="0094600A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Отже, </w:t>
      </w:r>
      <w:r w:rsidR="00E85BA7"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впродовж останніх років 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на ринку праці в Україні є ряд основних проблем, зокрема недостатня зайнятість населення, наявність прихованого безробіття; дефіцит робочої сили певних категорій, що пояснюється недоліками у підготовці кадрів; значні масштабами зайнятих некваліфікованою працею, а також в неформальному секторі зайнятості. В сучасній економіці Україні значно знизилася частка заробітної плати у доходах.</w:t>
      </w:r>
    </w:p>
    <w:p w:rsidR="00E85BA7" w:rsidRPr="007E4002" w:rsidRDefault="00E85BA7" w:rsidP="00E85BA7">
      <w:pPr>
        <w:spacing w:line="360" w:lineRule="auto"/>
        <w:ind w:firstLine="567"/>
        <w:jc w:val="center"/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/>
          <w:bCs/>
          <w:color w:val="333333"/>
          <w:sz w:val="28"/>
          <w:szCs w:val="24"/>
          <w:shd w:val="clear" w:color="auto" w:fill="FFFFFF"/>
          <w:lang w:val="uk-UA"/>
        </w:rPr>
        <w:t>Список використаної літератури</w:t>
      </w:r>
    </w:p>
    <w:p w:rsidR="00B6197B" w:rsidRPr="007E4002" w:rsidRDefault="00B6197B" w:rsidP="00E85BA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Карпухно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 І.О. Проблеми сучасного розвитку ринку праці України / І.О. </w:t>
      </w:r>
      <w:proofErr w:type="spellStart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Карпухно</w:t>
      </w:r>
      <w:proofErr w:type="spellEnd"/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, І.В. Колесник // Ефективна економіка. – 2012. - №4. – С. 43-58.</w:t>
      </w:r>
    </w:p>
    <w:p w:rsidR="00B6197B" w:rsidRPr="007E4002" w:rsidRDefault="00B6197B" w:rsidP="00E85BA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Сайт Державної служби статистики України 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[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Електронний ресурс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]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. – Режим доступу: </w:t>
      </w:r>
      <w:hyperlink r:id="rId7" w:history="1">
        <w:r w:rsidRPr="007E4002">
          <w:rPr>
            <w:rStyle w:val="a7"/>
            <w:rFonts w:ascii="Times New Roman" w:hAnsi="Times New Roman"/>
            <w:bCs/>
            <w:sz w:val="28"/>
            <w:szCs w:val="24"/>
            <w:shd w:val="clear" w:color="auto" w:fill="FFFFFF"/>
            <w:lang w:val="uk-UA"/>
          </w:rPr>
          <w:t>http://ukrstat.gov.ua/</w:t>
        </w:r>
      </w:hyperlink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.</w:t>
      </w:r>
    </w:p>
    <w:p w:rsidR="00B6197B" w:rsidRPr="007E4002" w:rsidRDefault="00B6197B" w:rsidP="00E85BA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 xml:space="preserve">Статистичний збірник «Статистичний щорічник України» 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[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Електронний ресурс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</w:rPr>
        <w:t>]</w:t>
      </w:r>
      <w:r w:rsidRPr="007E4002"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  <w:t>. – Режим доступу: http://ukrstat.org/.</w:t>
      </w:r>
    </w:p>
    <w:p w:rsidR="0094600A" w:rsidRPr="007E4002" w:rsidRDefault="0094600A" w:rsidP="0094600A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</w:p>
    <w:p w:rsidR="0094600A" w:rsidRPr="007E4002" w:rsidRDefault="0094600A" w:rsidP="0094600A">
      <w:pPr>
        <w:spacing w:line="36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4"/>
          <w:shd w:val="clear" w:color="auto" w:fill="FFFFFF"/>
          <w:lang w:val="uk-UA"/>
        </w:rPr>
      </w:pPr>
    </w:p>
    <w:sectPr w:rsidR="0094600A" w:rsidRPr="007E4002" w:rsidSect="00937A60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41A5"/>
    <w:multiLevelType w:val="hybridMultilevel"/>
    <w:tmpl w:val="0262C58E"/>
    <w:lvl w:ilvl="0" w:tplc="5B52E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3D8"/>
    <w:rsid w:val="00127946"/>
    <w:rsid w:val="00186AF3"/>
    <w:rsid w:val="00214EB4"/>
    <w:rsid w:val="003161E1"/>
    <w:rsid w:val="00323636"/>
    <w:rsid w:val="003C7B3E"/>
    <w:rsid w:val="003F7147"/>
    <w:rsid w:val="00453DAE"/>
    <w:rsid w:val="00492BA0"/>
    <w:rsid w:val="00495DC8"/>
    <w:rsid w:val="004A090D"/>
    <w:rsid w:val="004A75D1"/>
    <w:rsid w:val="004B25A4"/>
    <w:rsid w:val="004F0974"/>
    <w:rsid w:val="005833D8"/>
    <w:rsid w:val="005E4BCF"/>
    <w:rsid w:val="00617006"/>
    <w:rsid w:val="0069768F"/>
    <w:rsid w:val="007026B2"/>
    <w:rsid w:val="00736D06"/>
    <w:rsid w:val="007A5F08"/>
    <w:rsid w:val="007E4002"/>
    <w:rsid w:val="008A744F"/>
    <w:rsid w:val="008B35BA"/>
    <w:rsid w:val="0090027F"/>
    <w:rsid w:val="00937A60"/>
    <w:rsid w:val="0094600A"/>
    <w:rsid w:val="00951F3D"/>
    <w:rsid w:val="00A102EB"/>
    <w:rsid w:val="00AE6825"/>
    <w:rsid w:val="00B066F3"/>
    <w:rsid w:val="00B13BCE"/>
    <w:rsid w:val="00B52425"/>
    <w:rsid w:val="00B6197B"/>
    <w:rsid w:val="00B67D71"/>
    <w:rsid w:val="00B8190B"/>
    <w:rsid w:val="00BF25EE"/>
    <w:rsid w:val="00BF3B4A"/>
    <w:rsid w:val="00C010DA"/>
    <w:rsid w:val="00C16AD6"/>
    <w:rsid w:val="00D57224"/>
    <w:rsid w:val="00E268F7"/>
    <w:rsid w:val="00E85BA7"/>
    <w:rsid w:val="00ED3E01"/>
    <w:rsid w:val="00EF0C69"/>
    <w:rsid w:val="00F2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0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6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7B3E"/>
  </w:style>
  <w:style w:type="paragraph" w:styleId="a6">
    <w:name w:val="List Paragraph"/>
    <w:basedOn w:val="a"/>
    <w:uiPriority w:val="34"/>
    <w:qFormat/>
    <w:rsid w:val="00E85B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19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rsta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2486359066002764"/>
          <c:y val="5.373168524590733E-2"/>
          <c:w val="0.76798410615339974"/>
          <c:h val="0.4991559942362253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Потреби у робочий силі 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3.7564644781704695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0"/>
                  <c:y val="-3.219826695574681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198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l"/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20.9</c:v>
                </c:pt>
                <c:pt idx="1">
                  <c:v>11.4</c:v>
                </c:pt>
                <c:pt idx="2">
                  <c:v>8.5</c:v>
                </c:pt>
                <c:pt idx="3">
                  <c:v>10.5</c:v>
                </c:pt>
                <c:pt idx="4">
                  <c:v>7.4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Кількість безробітних, зареєстрованих у державній службі зайнятості</c:v>
                </c:pt>
              </c:strCache>
            </c:strRef>
          </c:tx>
          <c:dLbls>
            <c:dLbl>
              <c:idx val="1"/>
              <c:layout>
                <c:manualLayout>
                  <c:x val="2.1304353150351871E-3"/>
                  <c:y val="3.4881455868725812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0"/>
                  <c:y val="2.683188912978910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6.3913059451055727E-3"/>
                  <c:y val="4.0247833694683446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198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l"/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5.5</c:v>
                </c:pt>
                <c:pt idx="1">
                  <c:v>6.8</c:v>
                </c:pt>
                <c:pt idx="2">
                  <c:v>7.5</c:v>
                </c:pt>
                <c:pt idx="3">
                  <c:v>9.8000000000000007</c:v>
                </c:pt>
                <c:pt idx="4">
                  <c:v>17.3</c:v>
                </c:pt>
                <c:pt idx="5">
                  <c:v>17.600000000000001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Кількість найнятих робітників, які скористалися послугами служби зайнятості</c:v>
                </c:pt>
              </c:strCache>
            </c:strRef>
          </c:tx>
          <c:dLbls>
            <c:txPr>
              <a:bodyPr/>
              <a:lstStyle/>
              <a:p>
                <a:pPr>
                  <a:defRPr sz="1198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l"/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51.9</c:v>
                </c:pt>
                <c:pt idx="1">
                  <c:v>29.7</c:v>
                </c:pt>
                <c:pt idx="2">
                  <c:v>30.9</c:v>
                </c:pt>
                <c:pt idx="3">
                  <c:v>28.3</c:v>
                </c:pt>
                <c:pt idx="4">
                  <c:v>39.4</c:v>
                </c:pt>
                <c:pt idx="5">
                  <c:v>48.7</c:v>
                </c:pt>
              </c:numCache>
            </c:numRef>
          </c:val>
        </c:ser>
        <c:dLbls>
          <c:showVal val="1"/>
        </c:dLbls>
        <c:marker val="1"/>
        <c:axId val="107333888"/>
        <c:axId val="107780352"/>
      </c:lineChart>
      <c:catAx>
        <c:axId val="107333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  <c:layout>
            <c:manualLayout>
              <c:xMode val="edge"/>
              <c:yMode val="edge"/>
              <c:x val="0.45631884333947575"/>
              <c:y val="0.638228652253811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7780352"/>
        <c:crosses val="autoZero"/>
        <c:auto val="1"/>
        <c:lblAlgn val="ctr"/>
        <c:lblOffset val="100"/>
      </c:catAx>
      <c:valAx>
        <c:axId val="1077803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198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Безробітні, незайняті, </a:t>
                </a:r>
              </a:p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198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потреба у робочій силі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73338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3.764875477809395E-2"/>
          <c:y val="0.65126694115117789"/>
          <c:w val="0.91932571149960862"/>
          <c:h val="0.28866876817178277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Заробітняа плата жінок, грн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l"/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 formatCode="0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2661</c:v>
                </c:pt>
                <c:pt idx="1">
                  <c:v>2866</c:v>
                </c:pt>
                <c:pt idx="2">
                  <c:v>2980</c:v>
                </c:pt>
                <c:pt idx="3">
                  <c:v>3631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Заробітна плата чоловіків, грн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l"/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 formatCode="0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3429</c:v>
                </c:pt>
                <c:pt idx="1">
                  <c:v>3711</c:v>
                </c:pt>
                <c:pt idx="2">
                  <c:v>3979</c:v>
                </c:pt>
                <c:pt idx="3">
                  <c:v>4848</c:v>
                </c:pt>
              </c:numCache>
            </c:numRef>
          </c:val>
        </c:ser>
        <c:marker val="1"/>
        <c:axId val="109325312"/>
        <c:axId val="109332352"/>
      </c:lineChart>
      <c:catAx>
        <c:axId val="109325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9332352"/>
        <c:crosses val="autoZero"/>
        <c:auto val="1"/>
        <c:lblAlgn val="ctr"/>
        <c:lblOffset val="100"/>
      </c:catAx>
      <c:valAx>
        <c:axId val="1093323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Заробітна плата, грн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9325312"/>
        <c:crosses val="autoZero"/>
        <c:crossBetween val="between"/>
      </c:valAx>
    </c:plotArea>
    <c:legend>
      <c:legendPos val="r"/>
      <c:txPr>
        <a:bodyPr/>
        <a:lstStyle/>
        <a:p>
          <a:pPr algn="just">
            <a:defRPr sz="12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7542523</TotalTime>
  <Pages>7</Pages>
  <Words>5936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MYKOLA</cp:lastModifiedBy>
  <cp:revision>12</cp:revision>
  <dcterms:created xsi:type="dcterms:W3CDTF">2016-05-02T14:04:00Z</dcterms:created>
  <dcterms:modified xsi:type="dcterms:W3CDTF">2016-05-22T22:11:00Z</dcterms:modified>
</cp:coreProperties>
</file>