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9.jpeg" ContentType="image/jpeg"/>
  <Override PartName="/word/media/image8.jpeg" ContentType="image/jpeg"/>
  <Override PartName="/word/media/image7.jpeg" ContentType="image/jpeg"/>
  <Override PartName="/word/media/image6.jpeg" ContentType="image/jpeg"/>
  <Override PartName="/word/media/image2.jpeg" ContentType="image/jpeg"/>
  <Override PartName="/word/media/image1.jpeg" ContentType="image/jpeg"/>
  <Override PartName="/word/media/image3.jpeg" ContentType="image/jpeg"/>
  <Override PartName="/word/media/image4.jpeg" ContentType="image/jpeg"/>
  <Override PartName="/word/media/image5.jpeg" ContentType="image/jpeg"/>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ListParagraph"/>
        <w:widowControl/>
        <w:bidi w:val="0"/>
        <w:spacing w:lineRule="auto" w:line="240" w:before="0" w:after="0"/>
        <w:ind w:left="0" w:right="0" w:hanging="0"/>
        <w:contextualSpacing/>
        <w:jc w:val="both"/>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8"/>
          <w:szCs w:val="28"/>
          <w:lang w:val="ru-RU"/>
        </w:rPr>
        <w:t>Владимир Никифоров</w:t>
      </w:r>
    </w:p>
    <w:p>
      <w:pPr>
        <w:pStyle w:val="ListParagraph"/>
        <w:widowControl/>
        <w:bidi w:val="0"/>
        <w:spacing w:lineRule="auto" w:line="240" w:before="0" w:after="0"/>
        <w:ind w:left="0" w:right="0" w:hanging="0"/>
        <w:contextualSpacing/>
        <w:jc w:val="both"/>
        <w:rPr>
          <w:rFonts w:ascii="Times New Roman" w:hAnsi="Times New Roman" w:eastAsia="Times New Roman" w:cs="Times New Roman"/>
          <w:color w:val="000000"/>
          <w:sz w:val="28"/>
          <w:szCs w:val="28"/>
          <w:lang w:val="ru-RU"/>
        </w:rPr>
      </w:pPr>
      <w:r>
        <w:rPr>
          <w:rFonts w:eastAsia="Times New Roman" w:cs="Times New Roman" w:ascii="Times New Roman" w:hAnsi="Times New Roman"/>
          <w:color w:val="000000"/>
          <w:sz w:val="28"/>
          <w:szCs w:val="28"/>
          <w:lang w:val="ru-RU"/>
        </w:rPr>
      </w:r>
    </w:p>
    <w:p>
      <w:pPr>
        <w:pStyle w:val="ListParagraph"/>
        <w:widowControl/>
        <w:bidi w:val="0"/>
        <w:spacing w:lineRule="auto" w:line="240" w:before="0" w:after="0"/>
        <w:ind w:left="0" w:right="0" w:hanging="0"/>
        <w:contextualSpacing/>
        <w:jc w:val="both"/>
        <w:rPr>
          <w:rFonts w:ascii="Times New Roman" w:hAnsi="Times New Roman" w:eastAsia="Times New Roman" w:cs="Times New Roman"/>
          <w:color w:val="000000"/>
          <w:sz w:val="28"/>
          <w:szCs w:val="28"/>
          <w:lang w:val="ru-RU"/>
        </w:rPr>
      </w:pPr>
      <w:r>
        <w:rPr>
          <w:rFonts w:eastAsia="Times New Roman" w:cs="Times New Roman" w:ascii="Times New Roman" w:hAnsi="Times New Roman"/>
          <w:color w:val="000000"/>
          <w:sz w:val="28"/>
          <w:szCs w:val="28"/>
          <w:lang w:val="ru-RU"/>
        </w:rPr>
      </w:r>
    </w:p>
    <w:p>
      <w:pPr>
        <w:pStyle w:val="ListParagraph"/>
        <w:widowControl/>
        <w:bidi w:val="0"/>
        <w:spacing w:lineRule="auto" w:line="240" w:before="0" w:after="0"/>
        <w:ind w:left="0" w:right="0" w:hanging="0"/>
        <w:contextualSpacing/>
        <w:jc w:val="both"/>
        <w:rPr>
          <w:rFonts w:ascii="Times New Roman" w:hAnsi="Times New Roman" w:eastAsia="Times New Roman" w:cs="Times New Roman"/>
          <w:b/>
          <w:b/>
          <w:color w:val="000000"/>
          <w:sz w:val="24"/>
          <w:szCs w:val="24"/>
          <w:lang w:val="ru-RU"/>
        </w:rPr>
      </w:pPr>
      <w:r>
        <w:rPr>
          <w:rFonts w:eastAsia="Times New Roman" w:cs="Times New Roman" w:ascii="Times New Roman" w:hAnsi="Times New Roman"/>
          <w:b/>
          <w:color w:val="000000"/>
          <w:sz w:val="28"/>
          <w:szCs w:val="28"/>
          <w:lang w:val="ru-RU"/>
        </w:rPr>
        <w:t>Применение композитных материалов в умном медицинском оборудовании, в том числе и с инновационными лазерными системами, управляемыми и контролируемыми комплексами с элементами искусственного интеллекта и искусственными нейронными сетями</w:t>
      </w:r>
    </w:p>
    <w:p>
      <w:pPr>
        <w:pStyle w:val="ListParagraph"/>
        <w:widowControl/>
        <w:bidi w:val="0"/>
        <w:spacing w:lineRule="auto" w:line="240" w:before="0" w:after="0"/>
        <w:ind w:left="0" w:right="0" w:hanging="0"/>
        <w:contextualSpacing/>
        <w:jc w:val="both"/>
        <w:rPr>
          <w:rFonts w:ascii="Times New Roman" w:hAnsi="Times New Roman" w:eastAsia="Times New Roman" w:cs="Times New Roman"/>
          <w:b/>
          <w:b/>
          <w:color w:val="000000"/>
          <w:sz w:val="28"/>
          <w:szCs w:val="28"/>
          <w:lang w:val="ru-RU"/>
        </w:rPr>
      </w:pPr>
      <w:r>
        <w:rPr>
          <w:rFonts w:eastAsia="Times New Roman" w:cs="Times New Roman" w:ascii="Times New Roman" w:hAnsi="Times New Roman"/>
          <w:b/>
          <w:color w:val="000000"/>
          <w:sz w:val="28"/>
          <w:szCs w:val="28"/>
          <w:lang w:val="ru-RU"/>
        </w:rPr>
      </w:r>
    </w:p>
    <w:p>
      <w:pPr>
        <w:pStyle w:val="ListParagraph"/>
        <w:widowControl/>
        <w:bidi w:val="0"/>
        <w:spacing w:lineRule="auto" w:line="240" w:before="0" w:after="0"/>
        <w:ind w:left="0" w:right="0" w:hanging="0"/>
        <w:contextualSpacing/>
        <w:jc w:val="both"/>
        <w:rPr>
          <w:rFonts w:ascii="Times New Roman" w:hAnsi="Times New Roman" w:eastAsia="Times New Roman" w:cs="Times New Roman"/>
          <w:b/>
          <w:b/>
          <w:color w:val="000000"/>
          <w:sz w:val="28"/>
          <w:szCs w:val="28"/>
          <w:lang w:val="ru-RU"/>
        </w:rPr>
      </w:pPr>
      <w:r>
        <w:rPr>
          <w:rFonts w:eastAsia="Times New Roman" w:cs="Times New Roman" w:ascii="Times New Roman" w:hAnsi="Times New Roman"/>
          <w:b/>
          <w:color w:val="000000"/>
          <w:sz w:val="28"/>
          <w:szCs w:val="28"/>
          <w:lang w:val="ru-RU"/>
        </w:rPr>
      </w:r>
    </w:p>
    <w:p>
      <w:pPr>
        <w:pStyle w:val="ListParagraph"/>
        <w:widowControl/>
        <w:bidi w:val="0"/>
        <w:spacing w:lineRule="auto" w:line="240" w:before="0" w:after="0"/>
        <w:ind w:left="0" w:right="0" w:hanging="0"/>
        <w:contextualSpacing/>
        <w:jc w:val="both"/>
        <w:rPr>
          <w:rFonts w:ascii="Times New Roman" w:hAnsi="Times New Roman" w:eastAsia="Times New Roman" w:cs="Times New Roman"/>
          <w:b/>
          <w:b/>
          <w:color w:val="000000"/>
          <w:sz w:val="28"/>
          <w:szCs w:val="28"/>
          <w:lang w:val="ru-RU"/>
        </w:rPr>
      </w:pPr>
      <w:r>
        <w:rPr>
          <w:rFonts w:eastAsia="Times New Roman" w:cs="Times New Roman" w:ascii="Times New Roman" w:hAnsi="Times New Roman"/>
          <w:b/>
          <w:color w:val="000000"/>
          <w:sz w:val="28"/>
          <w:szCs w:val="28"/>
          <w:lang w:val="ru-RU"/>
        </w:rPr>
      </w:r>
    </w:p>
    <w:p>
      <w:pPr>
        <w:pStyle w:val="ListParagraph"/>
        <w:widowControl/>
        <w:bidi w:val="0"/>
        <w:spacing w:lineRule="auto" w:line="240" w:before="0" w:after="0"/>
        <w:ind w:left="0" w:right="0" w:hanging="0"/>
        <w:contextualSpacing/>
        <w:jc w:val="both"/>
        <w:rPr>
          <w:sz w:val="28"/>
          <w:szCs w:val="28"/>
        </w:rPr>
      </w:pPr>
      <w:r>
        <w:rPr>
          <w:rFonts w:eastAsia="Times New Roman" w:cs="Times New Roman" w:ascii="Times New Roman" w:hAnsi="Times New Roman"/>
          <w:color w:val="000000"/>
          <w:sz w:val="28"/>
          <w:szCs w:val="28"/>
          <w:lang w:val="ru-RU"/>
        </w:rPr>
        <w:t>В значительной степени преимущества так называемого умного медицинского оборудования формируются за счёт применения различных композитных материалов, причём как для конструктивных компонентов – композиты типа – алмаз – медь, так и для технологических растворов и жидкостей, где благодаря инновационным технологиям формируются гомогенные эмульсии.</w:t>
      </w:r>
    </w:p>
    <w:p>
      <w:pPr>
        <w:pStyle w:val="ListParagraph"/>
        <w:spacing w:lineRule="auto" w:line="240" w:before="0" w:after="0"/>
        <w:contextualSpacing/>
        <w:jc w:val="both"/>
        <w:rPr>
          <w:rFonts w:ascii="Times New Roman" w:hAnsi="Times New Roman" w:eastAsia="Times New Roman" w:cs="Times New Roman"/>
          <w:color w:val="000000"/>
          <w:sz w:val="28"/>
          <w:szCs w:val="28"/>
          <w:lang w:val="ru-RU"/>
        </w:rPr>
      </w:pPr>
      <w:r>
        <w:rPr>
          <w:rFonts w:eastAsia="Times New Roman" w:cs="Times New Roman" w:ascii="Times New Roman" w:hAnsi="Times New Roman"/>
          <w:color w:val="000000"/>
          <w:sz w:val="28"/>
          <w:szCs w:val="28"/>
          <w:lang w:val="ru-RU"/>
        </w:rPr>
      </w:r>
    </w:p>
    <w:p>
      <w:pPr>
        <w:pStyle w:val="ListParagraph"/>
        <w:spacing w:lineRule="auto" w:line="240" w:before="0" w:after="0"/>
        <w:contextualSpacing/>
        <w:jc w:val="both"/>
        <w:rPr>
          <w:rFonts w:ascii="Times New Roman" w:hAnsi="Times New Roman" w:eastAsia="Times New Roman" w:cs="Times New Roman"/>
          <w:b/>
          <w:b/>
          <w:color w:val="000000"/>
          <w:sz w:val="28"/>
          <w:szCs w:val="28"/>
          <w:lang w:val="ru-RU"/>
        </w:rPr>
      </w:pPr>
      <w:r>
        <w:rPr>
          <w:rFonts w:eastAsia="Times New Roman" w:cs="Times New Roman" w:ascii="Times New Roman" w:hAnsi="Times New Roman"/>
          <w:b/>
          <w:color w:val="000000"/>
          <w:sz w:val="28"/>
          <w:szCs w:val="28"/>
          <w:lang w:val="ru-RU"/>
        </w:rPr>
      </w:r>
    </w:p>
    <w:p>
      <w:pPr>
        <w:pStyle w:val="ListParagraph"/>
        <w:spacing w:lineRule="auto" w:line="240" w:before="0" w:after="0"/>
        <w:contextualSpacing/>
        <w:jc w:val="center"/>
        <w:rPr>
          <w:sz w:val="28"/>
          <w:szCs w:val="28"/>
        </w:rPr>
      </w:pPr>
      <w:r>
        <w:rPr/>
        <w:drawing>
          <wp:inline distT="0" distB="0" distL="0" distR="0">
            <wp:extent cx="3205480" cy="3107690"/>
            <wp:effectExtent l="0" t="0" r="0" b="0"/>
            <wp:docPr id="1" name="Picture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2" descr=""/>
                    <pic:cNvPicPr>
                      <a:picLocks noChangeAspect="1" noChangeArrowheads="1"/>
                    </pic:cNvPicPr>
                  </pic:nvPicPr>
                  <pic:blipFill>
                    <a:blip r:embed="rId2"/>
                    <a:stretch>
                      <a:fillRect/>
                    </a:stretch>
                  </pic:blipFill>
                  <pic:spPr bwMode="auto">
                    <a:xfrm>
                      <a:off x="0" y="0"/>
                      <a:ext cx="3205480" cy="3107690"/>
                    </a:xfrm>
                    <a:prstGeom prst="rect">
                      <a:avLst/>
                    </a:prstGeom>
                  </pic:spPr>
                </pic:pic>
              </a:graphicData>
            </a:graphic>
          </wp:inline>
        </w:drawing>
      </w:r>
    </w:p>
    <w:p>
      <w:pPr>
        <w:pStyle w:val="Normal"/>
        <w:jc w:val="both"/>
        <w:rPr>
          <w:rFonts w:ascii="Times New Roman" w:hAnsi="Times New Roman" w:cs="Times New Roman"/>
          <w:b/>
          <w:b/>
          <w:sz w:val="28"/>
          <w:szCs w:val="28"/>
        </w:rPr>
      </w:pPr>
      <w:r>
        <w:rPr>
          <w:rFonts w:cs="Times New Roman" w:ascii="Times New Roman" w:hAnsi="Times New Roman"/>
          <w:b/>
          <w:sz w:val="28"/>
          <w:szCs w:val="28"/>
        </w:rPr>
      </w:r>
    </w:p>
    <w:p>
      <w:pPr>
        <w:pStyle w:val="Normal"/>
        <w:jc w:val="both"/>
        <w:rPr>
          <w:sz w:val="28"/>
          <w:szCs w:val="28"/>
        </w:rPr>
      </w:pPr>
      <w:r>
        <w:rPr>
          <w:rFonts w:cs="Times New Roman" w:ascii="Times New Roman" w:hAnsi="Times New Roman"/>
          <w:b/>
          <w:sz w:val="28"/>
          <w:szCs w:val="28"/>
          <w:lang w:val="ru-RU"/>
        </w:rPr>
        <w:t xml:space="preserve">Рисунок 1. </w:t>
      </w:r>
      <w:r>
        <w:rPr>
          <w:rFonts w:cs="Times New Roman" w:ascii="Times New Roman" w:hAnsi="Times New Roman"/>
          <w:b w:val="false"/>
          <w:bCs w:val="false"/>
          <w:sz w:val="28"/>
          <w:szCs w:val="28"/>
          <w:lang w:val="ru-RU"/>
        </w:rPr>
        <w:t>Н</w:t>
      </w:r>
      <w:r>
        <w:rPr>
          <w:rFonts w:cs="Times New Roman" w:ascii="Times New Roman" w:hAnsi="Times New Roman"/>
          <w:sz w:val="28"/>
          <w:szCs w:val="28"/>
          <w:lang w:val="ru-RU"/>
        </w:rPr>
        <w:t>а рисунке показана модель композитной структуры, построенной по принципу - сверхтвёрдое ядро, окружённое оболочкой из сверхпластичного материала, преимущественно имеющего свойства хладно – текучести.</w:t>
      </w:r>
    </w:p>
    <w:p>
      <w:pPr>
        <w:pStyle w:val="Normal"/>
        <w:jc w:val="both"/>
        <w:rPr>
          <w:sz w:val="28"/>
          <w:szCs w:val="28"/>
        </w:rPr>
      </w:pPr>
      <w:r>
        <w:rPr>
          <w:rFonts w:cs="Times New Roman" w:ascii="Times New Roman" w:hAnsi="Times New Roman"/>
          <w:sz w:val="28"/>
          <w:szCs w:val="28"/>
          <w:lang w:val="ru-RU"/>
        </w:rPr>
        <w:t>Благодаря указанной структуре материала в модулях лазерных диодов формируются умные системы охлаждения, в которых за счёт свойств композитного материала формируется эффект равномерного рассеивания не только тепловых импульсов, но и импульсов тока, особенно опасных при работе с мощными лазерными диодами.</w:t>
      </w:r>
    </w:p>
    <w:p>
      <w:pPr>
        <w:pStyle w:val="Normal"/>
        <w:jc w:val="both"/>
        <w:rPr>
          <w:sz w:val="28"/>
          <w:szCs w:val="28"/>
        </w:rPr>
      </w:pPr>
      <w:r>
        <w:rPr>
          <w:rFonts w:cs="Times New Roman" w:ascii="Times New Roman" w:hAnsi="Times New Roman"/>
          <w:sz w:val="28"/>
          <w:szCs w:val="28"/>
          <w:lang w:val="ru-RU"/>
        </w:rPr>
        <w:t>Сферы серого цвета на рисунке - ядра капсул композитного материала, изготовленные из синтетического алмаза, оболочки голубого цвета - медь, осаждённая на ядра капсул.</w:t>
      </w:r>
    </w:p>
    <w:p>
      <w:pPr>
        <w:pStyle w:val="Normal"/>
        <w:jc w:val="both"/>
        <w:rPr>
          <w:sz w:val="28"/>
          <w:szCs w:val="28"/>
        </w:rPr>
      </w:pPr>
      <w:r>
        <w:rPr>
          <w:rFonts w:cs="Times New Roman" w:ascii="Times New Roman" w:hAnsi="Times New Roman"/>
          <w:sz w:val="28"/>
          <w:szCs w:val="28"/>
          <w:lang w:val="ru-RU"/>
        </w:rPr>
        <w:t>Материал показан до калибровки, при которой в процессе хладно – текучести медь плывёт и заполняет все промежутки между капсулами.</w:t>
      </w:r>
    </w:p>
    <w:p>
      <w:pPr>
        <w:pStyle w:val="Normal"/>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jc w:val="both"/>
        <w:rPr>
          <w:rFonts w:ascii="Times New Roman" w:hAnsi="Times New Roman" w:cs="Times New Roman"/>
          <w:b/>
          <w:b/>
          <w:sz w:val="24"/>
          <w:szCs w:val="24"/>
        </w:rPr>
      </w:pPr>
      <w:r>
        <w:rPr/>
        <w:drawing>
          <wp:inline distT="0" distB="0" distL="0" distR="0">
            <wp:extent cx="5943600" cy="3286125"/>
            <wp:effectExtent l="0" t="0" r="0" b="0"/>
            <wp:docPr id="2"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
                    <pic:cNvPicPr>
                      <a:picLocks noChangeAspect="1" noChangeArrowheads="1"/>
                    </pic:cNvPicPr>
                  </pic:nvPicPr>
                  <pic:blipFill>
                    <a:blip r:embed="rId3"/>
                    <a:stretch>
                      <a:fillRect/>
                    </a:stretch>
                  </pic:blipFill>
                  <pic:spPr bwMode="auto">
                    <a:xfrm>
                      <a:off x="0" y="0"/>
                      <a:ext cx="5943600" cy="3286125"/>
                    </a:xfrm>
                    <a:prstGeom prst="rect">
                      <a:avLst/>
                    </a:prstGeom>
                  </pic:spPr>
                </pic:pic>
              </a:graphicData>
            </a:graphic>
          </wp:inline>
        </w:drawing>
      </w:r>
    </w:p>
    <w:p>
      <w:pPr>
        <w:pStyle w:val="Normal"/>
        <w:jc w:val="both"/>
        <w:rPr>
          <w:sz w:val="28"/>
          <w:szCs w:val="28"/>
        </w:rPr>
      </w:pPr>
      <w:r>
        <w:rPr>
          <w:rFonts w:cs="Times New Roman" w:ascii="Times New Roman" w:hAnsi="Times New Roman"/>
          <w:b/>
          <w:sz w:val="28"/>
          <w:szCs w:val="28"/>
          <w:lang w:val="ru-RU"/>
        </w:rPr>
        <w:t>Рисунок 2</w:t>
      </w:r>
      <w:bookmarkStart w:id="0" w:name="__DdeLink__2956_4133402048"/>
      <w:r>
        <w:rPr>
          <w:rFonts w:cs="Times New Roman" w:ascii="Times New Roman" w:hAnsi="Times New Roman"/>
          <w:b/>
          <w:sz w:val="28"/>
          <w:szCs w:val="28"/>
          <w:lang w:val="ru-RU"/>
        </w:rPr>
        <w:t xml:space="preserve">. </w:t>
      </w:r>
      <w:r>
        <w:rPr>
          <w:rFonts w:cs="Times New Roman" w:ascii="Times New Roman" w:hAnsi="Times New Roman"/>
          <w:b w:val="false"/>
          <w:bCs w:val="false"/>
          <w:sz w:val="28"/>
          <w:szCs w:val="28"/>
          <w:lang w:val="ru-RU"/>
        </w:rPr>
        <w:t>Н</w:t>
      </w:r>
      <w:bookmarkEnd w:id="0"/>
      <w:r>
        <w:rPr>
          <w:rFonts w:cs="Times New Roman" w:ascii="Times New Roman" w:hAnsi="Times New Roman"/>
          <w:sz w:val="28"/>
          <w:szCs w:val="28"/>
          <w:lang w:val="ru-RU"/>
        </w:rPr>
        <w:t>а рисунке показаны основные конструктивные элементы модуля лазерного диода, в которых держатель лазерного диода выполнен из композитного материала - алмаз – медь, в котором применена классическая методика производства этого материала по следующей схеме, в которой из синтетического алмаза производятся сферические ядра композитных капсул, покрываемые затем медной оболочкой. Полученные таким образом капсулы помещаются в специальную форму, где под высоким давлением в материале инициируются холодная текучесть металла, в данном случае – меди.</w:t>
      </w:r>
    </w:p>
    <w:p>
      <w:pPr>
        <w:pStyle w:val="Normal"/>
        <w:jc w:val="both"/>
        <w:rPr>
          <w:sz w:val="28"/>
          <w:szCs w:val="28"/>
        </w:rPr>
      </w:pPr>
      <w:r>
        <w:rPr>
          <w:rFonts w:cs="Times New Roman" w:ascii="Times New Roman" w:hAnsi="Times New Roman"/>
          <w:sz w:val="28"/>
          <w:szCs w:val="28"/>
          <w:lang w:val="ru-RU"/>
        </w:rPr>
        <w:t>Кроме меди могут быть использованы другие пластичные и электропроводные металлы - как например серебро.</w:t>
      </w:r>
    </w:p>
    <w:p>
      <w:pPr>
        <w:pStyle w:val="Normal"/>
        <w:jc w:val="both"/>
        <w:rPr>
          <w:rFonts w:ascii="Times New Roman" w:hAnsi="Times New Roman" w:cs="Times New Roman"/>
          <w:b/>
          <w:b/>
          <w:sz w:val="28"/>
          <w:szCs w:val="28"/>
          <w:lang w:val="ru-RU"/>
        </w:rPr>
      </w:pPr>
      <w:r>
        <w:rPr>
          <w:rFonts w:cs="Times New Roman" w:ascii="Times New Roman" w:hAnsi="Times New Roman"/>
          <w:b/>
          <w:sz w:val="28"/>
          <w:szCs w:val="28"/>
          <w:lang w:val="ru-RU"/>
        </w:rPr>
      </w:r>
    </w:p>
    <w:p>
      <w:pPr>
        <w:pStyle w:val="Normal"/>
        <w:jc w:val="both"/>
        <w:rPr>
          <w:rFonts w:ascii="Times New Roman" w:hAnsi="Times New Roman" w:cs="Times New Roman"/>
          <w:b/>
          <w:b/>
          <w:sz w:val="24"/>
          <w:szCs w:val="24"/>
        </w:rPr>
      </w:pPr>
      <w:r>
        <w:rPr/>
        <w:drawing>
          <wp:inline distT="0" distB="0" distL="0" distR="0">
            <wp:extent cx="5943600" cy="3884295"/>
            <wp:effectExtent l="0" t="0" r="0" b="0"/>
            <wp:docPr id="3"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
                    <pic:cNvPicPr>
                      <a:picLocks noChangeAspect="1" noChangeArrowheads="1"/>
                    </pic:cNvPicPr>
                  </pic:nvPicPr>
                  <pic:blipFill>
                    <a:blip r:embed="rId4"/>
                    <a:stretch>
                      <a:fillRect/>
                    </a:stretch>
                  </pic:blipFill>
                  <pic:spPr bwMode="auto">
                    <a:xfrm>
                      <a:off x="0" y="0"/>
                      <a:ext cx="5943600" cy="3884295"/>
                    </a:xfrm>
                    <a:prstGeom prst="rect">
                      <a:avLst/>
                    </a:prstGeom>
                  </pic:spPr>
                </pic:pic>
              </a:graphicData>
            </a:graphic>
          </wp:inline>
        </w:drawing>
      </w:r>
    </w:p>
    <w:p>
      <w:pPr>
        <w:pStyle w:val="Normal"/>
        <w:jc w:val="both"/>
        <w:rPr>
          <w:rFonts w:ascii="Times New Roman" w:hAnsi="Times New Roman" w:cs="Times New Roman"/>
          <w:sz w:val="24"/>
          <w:szCs w:val="24"/>
          <w:lang w:val="ru-RU"/>
        </w:rPr>
      </w:pPr>
      <w:r>
        <w:rPr>
          <w:rFonts w:cs="Times New Roman" w:ascii="Times New Roman" w:hAnsi="Times New Roman"/>
          <w:b/>
          <w:sz w:val="28"/>
          <w:szCs w:val="28"/>
          <w:lang w:val="ru-RU"/>
        </w:rPr>
        <w:t xml:space="preserve">Рисунок 3. </w:t>
      </w:r>
      <w:r>
        <w:rPr>
          <w:rFonts w:cs="Times New Roman" w:ascii="Times New Roman" w:hAnsi="Times New Roman"/>
          <w:b w:val="false"/>
          <w:bCs w:val="false"/>
          <w:sz w:val="28"/>
          <w:szCs w:val="28"/>
          <w:lang w:val="ru-RU"/>
        </w:rPr>
        <w:t>Н</w:t>
      </w:r>
      <w:r>
        <w:rPr>
          <w:rFonts w:cs="Times New Roman" w:ascii="Times New Roman" w:hAnsi="Times New Roman"/>
          <w:sz w:val="28"/>
          <w:szCs w:val="28"/>
          <w:lang w:val="ru-RU"/>
        </w:rPr>
        <w:t>а рисунке показаны основные конструктивные элементы модуля лазерного диода, в которых держатель лазерного диода выполнен из композитного материала - алмаз – медь, в котором применена классическая методика производства этого материала по следующей схеме, в которой из синтетического алмаза производятся сферические ядра композитных капсул, покрываемые затем медной оболочкой.</w:t>
      </w:r>
    </w:p>
    <w:p>
      <w:pPr>
        <w:pStyle w:val="Normal"/>
        <w:jc w:val="both"/>
        <w:rPr>
          <w:sz w:val="28"/>
          <w:szCs w:val="28"/>
        </w:rPr>
      </w:pPr>
      <w:r>
        <w:rPr>
          <w:rFonts w:cs="Times New Roman" w:ascii="Times New Roman" w:hAnsi="Times New Roman"/>
          <w:sz w:val="28"/>
          <w:szCs w:val="28"/>
          <w:lang w:val="ru-RU"/>
        </w:rPr>
        <w:t>Все элементы расположены в другой позиции, чем на рисунке 2.</w:t>
      </w:r>
    </w:p>
    <w:p>
      <w:pPr>
        <w:pStyle w:val="Normal"/>
        <w:jc w:val="both"/>
        <w:rPr>
          <w:sz w:val="28"/>
          <w:szCs w:val="28"/>
        </w:rPr>
      </w:pPr>
      <w:r>
        <w:rPr>
          <w:rFonts w:cs="Times New Roman" w:ascii="Times New Roman" w:hAnsi="Times New Roman"/>
          <w:sz w:val="28"/>
          <w:szCs w:val="28"/>
          <w:lang w:val="ru-RU"/>
        </w:rPr>
        <w:t>К плате – держателю лазерного диода подсоединён корпус подсистемы кодирования и декодирования, предназначенной для идентификации одноразовых инструментов оптической лазерной системы, причём кодирование и декодирование выполняются при помощи магниторезонансной спектроскопии.</w:t>
      </w:r>
    </w:p>
    <w:p>
      <w:pPr>
        <w:pStyle w:val="Normal"/>
        <w:jc w:val="both"/>
        <w:rPr>
          <w:sz w:val="28"/>
          <w:szCs w:val="28"/>
        </w:rPr>
      </w:pPr>
      <w:r>
        <w:rPr>
          <w:rFonts w:cs="Times New Roman" w:ascii="Times New Roman" w:hAnsi="Times New Roman"/>
          <w:sz w:val="28"/>
          <w:szCs w:val="28"/>
          <w:lang w:val="ru-RU"/>
        </w:rPr>
        <w:t>Как видно из рисунка этот корпус изготовлен из алюминиевого сплава.</w:t>
      </w:r>
    </w:p>
    <w:p>
      <w:pPr>
        <w:pStyle w:val="Normal"/>
        <w:jc w:val="both"/>
        <w:rPr>
          <w:sz w:val="28"/>
          <w:szCs w:val="28"/>
        </w:rPr>
      </w:pPr>
      <w:r>
        <w:rPr>
          <w:rFonts w:cs="Times New Roman" w:ascii="Times New Roman" w:hAnsi="Times New Roman"/>
          <w:sz w:val="28"/>
          <w:szCs w:val="28"/>
          <w:lang w:val="ru-RU"/>
        </w:rPr>
        <w:t>Представленная на рисунке конструктивная версия компонентов позволяет на их базе готовить различные версии сборок модуля, в том числе и содержащих технические системы, квалифицированные – как подсистемы и несущие функции рассеивания тепловых импульсов при одновременном рассеивании токовых импульсов.</w:t>
      </w:r>
    </w:p>
    <w:p>
      <w:pPr>
        <w:pStyle w:val="Normal"/>
        <w:jc w:val="both"/>
        <w:rPr>
          <w:sz w:val="28"/>
          <w:szCs w:val="28"/>
        </w:rPr>
      </w:pPr>
      <w:r>
        <w:rPr>
          <w:rFonts w:cs="Times New Roman" w:ascii="Times New Roman" w:hAnsi="Times New Roman"/>
          <w:sz w:val="28"/>
          <w:szCs w:val="28"/>
          <w:lang w:val="ru-RU"/>
        </w:rPr>
        <w:t>Состав конструктивных элементов также дополняется конструктивными элементами электронных плат, изготовленных по РИТМ технологии и обеспечивающих существенное повышение уровня функционального быстродействия всех электронных схем системы.</w:t>
      </w:r>
    </w:p>
    <w:p>
      <w:pPr>
        <w:pStyle w:val="Normal"/>
        <w:jc w:val="both"/>
        <w:rPr>
          <w:rFonts w:ascii="Times New Roman" w:hAnsi="Times New Roman" w:cs="Times New Roman"/>
          <w:b/>
          <w:b/>
          <w:sz w:val="28"/>
          <w:szCs w:val="28"/>
          <w:lang w:val="ru-RU"/>
        </w:rPr>
      </w:pPr>
      <w:r>
        <w:rPr>
          <w:rFonts w:cs="Times New Roman" w:ascii="Times New Roman" w:hAnsi="Times New Roman"/>
          <w:b/>
          <w:sz w:val="28"/>
          <w:szCs w:val="28"/>
          <w:lang w:val="ru-RU"/>
        </w:rPr>
      </w:r>
    </w:p>
    <w:p>
      <w:pPr>
        <w:pStyle w:val="Normal"/>
        <w:jc w:val="both"/>
        <w:rPr>
          <w:rFonts w:ascii="Times New Roman" w:hAnsi="Times New Roman" w:cs="Times New Roman"/>
          <w:b/>
          <w:b/>
          <w:sz w:val="24"/>
          <w:szCs w:val="24"/>
        </w:rPr>
      </w:pPr>
      <w:r>
        <w:rPr/>
        <w:drawing>
          <wp:inline distT="0" distB="0" distL="0" distR="0">
            <wp:extent cx="5943600" cy="4675505"/>
            <wp:effectExtent l="0" t="0" r="0" b="0"/>
            <wp:docPr id="4" name="Picture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3" descr=""/>
                    <pic:cNvPicPr>
                      <a:picLocks noChangeAspect="1" noChangeArrowheads="1"/>
                    </pic:cNvPicPr>
                  </pic:nvPicPr>
                  <pic:blipFill>
                    <a:blip r:embed="rId5"/>
                    <a:stretch>
                      <a:fillRect/>
                    </a:stretch>
                  </pic:blipFill>
                  <pic:spPr bwMode="auto">
                    <a:xfrm>
                      <a:off x="0" y="0"/>
                      <a:ext cx="5943600" cy="4675505"/>
                    </a:xfrm>
                    <a:prstGeom prst="rect">
                      <a:avLst/>
                    </a:prstGeom>
                  </pic:spPr>
                </pic:pic>
              </a:graphicData>
            </a:graphic>
          </wp:inline>
        </w:drawing>
      </w:r>
    </w:p>
    <w:p>
      <w:pPr>
        <w:pStyle w:val="Normal"/>
        <w:jc w:val="both"/>
        <w:rPr>
          <w:sz w:val="28"/>
          <w:szCs w:val="28"/>
        </w:rPr>
      </w:pPr>
      <w:r>
        <w:rPr>
          <w:rFonts w:cs="Times New Roman" w:ascii="Times New Roman" w:hAnsi="Times New Roman"/>
          <w:b/>
          <w:sz w:val="28"/>
          <w:szCs w:val="28"/>
          <w:lang w:val="ru-RU"/>
        </w:rPr>
        <w:t xml:space="preserve">Рисунок 4. </w:t>
      </w:r>
      <w:r>
        <w:rPr>
          <w:rFonts w:cs="Times New Roman" w:ascii="Times New Roman" w:hAnsi="Times New Roman"/>
          <w:b w:val="false"/>
          <w:bCs w:val="false"/>
          <w:sz w:val="28"/>
          <w:szCs w:val="28"/>
          <w:lang w:val="ru-RU"/>
        </w:rPr>
        <w:t>Н</w:t>
      </w:r>
      <w:r>
        <w:rPr>
          <w:rFonts w:cs="Times New Roman" w:ascii="Times New Roman" w:hAnsi="Times New Roman"/>
          <w:sz w:val="28"/>
          <w:szCs w:val="28"/>
          <w:lang w:val="ru-RU"/>
        </w:rPr>
        <w:t>а рисунке показана система взаимодействия компонентов модуля лазерного диода с элементами искусственного интеллекта и искусственными нейронными сетями, при включении в систему накопителей информации высокого быстродействия и высокой ёмкости. Система также включает подсистему кодирования и декодирования, функционирующую с применением магнитной и резонансной спектроскопии - обработка данных которой также является частью важных функций искусственного интеллекта.</w:t>
      </w:r>
    </w:p>
    <w:p>
      <w:pPr>
        <w:pStyle w:val="Normal"/>
        <w:jc w:val="both"/>
        <w:rPr>
          <w:rFonts w:ascii="Times New Roman" w:hAnsi="Times New Roman" w:cs="Times New Roman"/>
          <w:sz w:val="24"/>
          <w:szCs w:val="24"/>
          <w:lang w:val="ru-RU"/>
        </w:rPr>
      </w:pPr>
      <w:r>
        <w:rPr>
          <w:rFonts w:cs="Times New Roman" w:ascii="Times New Roman" w:hAnsi="Times New Roman"/>
          <w:sz w:val="28"/>
          <w:szCs w:val="28"/>
          <w:lang w:val="ru-RU"/>
        </w:rPr>
        <w:t>Цифрами на рисунке обозначены:</w:t>
      </w:r>
    </w:p>
    <w:p>
      <w:pPr>
        <w:pStyle w:val="Normal"/>
        <w:jc w:val="both"/>
        <w:rPr>
          <w:sz w:val="28"/>
          <w:szCs w:val="28"/>
        </w:rPr>
      </w:pPr>
      <w:r>
        <w:rPr>
          <w:rFonts w:cs="Times New Roman" w:ascii="Times New Roman" w:hAnsi="Times New Roman"/>
          <w:sz w:val="28"/>
          <w:szCs w:val="28"/>
          <w:lang w:val="ru-RU"/>
        </w:rPr>
        <w:t>1 – аккумулятор информации, преимущественно многослойный, возможно – имеющий систему идентификации индивидуального кода, выражающегося в измерении при помощи магнитной и резонансной спектроскопии контрольной ленты аккумулятора информации, как правило изготовленной из пластичного металла, или нанесённой электрохимическим методом на периферию аккумулятора информации ( как правило диаметром 120 миллиметров ).</w:t>
      </w:r>
    </w:p>
    <w:p>
      <w:pPr>
        <w:pStyle w:val="Normal"/>
        <w:jc w:val="both"/>
        <w:rPr>
          <w:sz w:val="28"/>
          <w:szCs w:val="28"/>
        </w:rPr>
      </w:pPr>
      <w:r>
        <w:rPr>
          <w:rFonts w:cs="Times New Roman" w:ascii="Times New Roman" w:hAnsi="Times New Roman"/>
          <w:sz w:val="28"/>
          <w:szCs w:val="28"/>
          <w:lang w:val="ru-RU"/>
        </w:rPr>
        <w:t>2 – кодирующее кольцо на аккумуляторе информации, кодирующая толщина которого отличается на величину не более 1 микрона, что позволяет обеспечить множество вариантов кода и при помощи элементов искусственного интеллекта при взаимодействии с искусственными нейронными сетями способно в режиме реального времени группировать сигналы и выполнять роль диспетчера при их распределении между компонентами надсистемы.</w:t>
      </w:r>
    </w:p>
    <w:p>
      <w:pPr>
        <w:pStyle w:val="Normal"/>
        <w:jc w:val="both"/>
        <w:rPr>
          <w:sz w:val="28"/>
          <w:szCs w:val="28"/>
        </w:rPr>
      </w:pPr>
      <w:r>
        <w:rPr>
          <w:rFonts w:cs="Times New Roman" w:ascii="Times New Roman" w:hAnsi="Times New Roman"/>
          <w:sz w:val="28"/>
          <w:szCs w:val="28"/>
          <w:lang w:val="ru-RU"/>
        </w:rPr>
        <w:t>3 – условные изображения порций информации на треках аккумулятора информации, синхронно передаваемых на комплексную, в том числе и лазерную считывающую головку, а также локальную аналитическую систему координируемую при помощи элементов искусственного интеллекта и искусственных нейронных сетей, конфигурация которых варьируется в зависимости от профиля поставленных задач и сложности оборудования.</w:t>
      </w:r>
    </w:p>
    <w:p>
      <w:pPr>
        <w:pStyle w:val="Normal"/>
        <w:jc w:val="both"/>
        <w:rPr>
          <w:sz w:val="28"/>
          <w:szCs w:val="28"/>
        </w:rPr>
      </w:pPr>
      <w:r>
        <w:rPr>
          <w:rFonts w:cs="Times New Roman" w:ascii="Times New Roman" w:hAnsi="Times New Roman"/>
          <w:sz w:val="28"/>
          <w:szCs w:val="28"/>
          <w:lang w:val="ru-RU"/>
        </w:rPr>
        <w:t>4 – комплексная, в том числе и лазерная считывающая головка, а также локальная аналитическая система координируемая при помощи элементов искусственного интеллекта и искусственных нейронных сетей, конфигурация которых варьируется в зависимости от профиля поставленных задач и сложности оборудования.</w:t>
      </w:r>
    </w:p>
    <w:p>
      <w:pPr>
        <w:pStyle w:val="Normal"/>
        <w:jc w:val="both"/>
        <w:rPr>
          <w:sz w:val="28"/>
          <w:szCs w:val="28"/>
        </w:rPr>
      </w:pPr>
      <w:r>
        <w:rPr>
          <w:rFonts w:cs="Times New Roman" w:ascii="Times New Roman" w:hAnsi="Times New Roman"/>
          <w:sz w:val="28"/>
          <w:szCs w:val="28"/>
          <w:lang w:val="ru-RU"/>
        </w:rPr>
        <w:t>5 – промежуточная контрольная и аналитическая система, функционально связанная с процессором, входящим в надсистему и аккумулирующая сигналы от трёх сенсоров, измеряющих толщину контрольной ленты аккумулятора информации, удостоверяющая эквивалентность толщины контрольной ленты – коду и, при соответствии установленному коду, разрешающая проведение следующей по циклу операции.</w:t>
      </w:r>
    </w:p>
    <w:p>
      <w:pPr>
        <w:pStyle w:val="Normal"/>
        <w:jc w:val="both"/>
        <w:rPr>
          <w:sz w:val="28"/>
          <w:szCs w:val="28"/>
        </w:rPr>
      </w:pPr>
      <w:r>
        <w:rPr>
          <w:rFonts w:cs="Times New Roman" w:ascii="Times New Roman" w:hAnsi="Times New Roman"/>
          <w:sz w:val="28"/>
          <w:szCs w:val="28"/>
          <w:lang w:val="ru-RU"/>
        </w:rPr>
        <w:t>6 – ведущий процессор, входящий и контролирующий всю надсистему, включая входящую и исходящую информацию от элементов искусственного интеллекта и искусственных нейронных сетей.</w:t>
      </w:r>
    </w:p>
    <w:p>
      <w:pPr>
        <w:pStyle w:val="Normal"/>
        <w:jc w:val="both"/>
        <w:rPr>
          <w:rFonts w:ascii="Times New Roman" w:hAnsi="Times New Roman" w:cs="Times New Roman"/>
          <w:sz w:val="24"/>
          <w:szCs w:val="24"/>
          <w:lang w:val="ru-RU"/>
        </w:rPr>
      </w:pPr>
      <w:r>
        <w:rPr>
          <w:rFonts w:cs="Times New Roman" w:ascii="Times New Roman" w:hAnsi="Times New Roman"/>
          <w:sz w:val="28"/>
          <w:szCs w:val="28"/>
          <w:lang w:val="ru-RU"/>
        </w:rPr>
        <w:t>7 – три сенсора – соленоида, синхронно взаимодействующих с контрольной лентой аккумулятора информации и измеряющих толщину указанной ленты при помощи магнитной и резонансной спектроскопии.</w:t>
      </w:r>
    </w:p>
    <w:p>
      <w:pPr>
        <w:pStyle w:val="Normal"/>
        <w:jc w:val="both"/>
        <w:rPr>
          <w:sz w:val="28"/>
          <w:szCs w:val="28"/>
        </w:rPr>
      </w:pPr>
      <w:r>
        <w:rPr>
          <w:rFonts w:cs="Times New Roman" w:ascii="Times New Roman" w:hAnsi="Times New Roman"/>
          <w:sz w:val="28"/>
          <w:szCs w:val="28"/>
          <w:lang w:val="ru-RU"/>
        </w:rPr>
        <w:t>Сигналы сенсоров синхронно передаются на промежуточную контрольную и аналитическую систему - 5, функционально связанную с процессором, входящим в надсистему и аккумулирующую сигналы от трёх сенсоров, измеряющих толщину контрольной ленты аккумулятора информации, удостоверяющую эквивалентность толщины контрольной ленты – коду и, при соответствии установленному коду, разрешающую проведение следующей по циклу операции.</w:t>
      </w:r>
    </w:p>
    <w:p>
      <w:pPr>
        <w:pStyle w:val="Normal"/>
        <w:jc w:val="both"/>
        <w:rPr>
          <w:sz w:val="28"/>
          <w:szCs w:val="28"/>
        </w:rPr>
      </w:pPr>
      <w:r>
        <w:rPr>
          <w:rFonts w:cs="Times New Roman" w:ascii="Times New Roman" w:hAnsi="Times New Roman"/>
          <w:sz w:val="28"/>
          <w:szCs w:val="28"/>
          <w:lang w:val="ru-RU"/>
        </w:rPr>
        <w:t>8 – условно показан внешний источник лазерного излучения, который может быть использован как для чтения – так и для записи информации и, при этом параметры излучения этого внешнего источника излучения находятся в постоянной регулировке и в аналитическом контроле, в которых участвуют все компоненты технической надсистемы и кроме этого, которые имеют верхний уровень контрольного и аналитического управления, координируемый в том числе и элементами искусственного интеллекта и в рамках которых инициируется процесс самообучения, реализуемый в рамках искусственных нейронных сетей с учётом всей текущей информации, собираемой ведущим процессором 6.</w:t>
      </w:r>
    </w:p>
    <w:p>
      <w:pPr>
        <w:pStyle w:val="Normal"/>
        <w:jc w:val="both"/>
        <w:rPr>
          <w:rFonts w:ascii="Times New Roman" w:hAnsi="Times New Roman" w:cs="Times New Roman"/>
          <w:b/>
          <w:b/>
          <w:sz w:val="24"/>
          <w:szCs w:val="24"/>
        </w:rPr>
      </w:pPr>
      <w:r>
        <w:rPr/>
        <w:drawing>
          <wp:inline distT="0" distB="0" distL="0" distR="0">
            <wp:extent cx="5943600" cy="4707255"/>
            <wp:effectExtent l="0" t="0" r="0" b="0"/>
            <wp:docPr id="5" name="Picture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4" descr=""/>
                    <pic:cNvPicPr>
                      <a:picLocks noChangeAspect="1" noChangeArrowheads="1"/>
                    </pic:cNvPicPr>
                  </pic:nvPicPr>
                  <pic:blipFill>
                    <a:blip r:embed="rId6"/>
                    <a:stretch>
                      <a:fillRect/>
                    </a:stretch>
                  </pic:blipFill>
                  <pic:spPr bwMode="auto">
                    <a:xfrm>
                      <a:off x="0" y="0"/>
                      <a:ext cx="5943600" cy="4707255"/>
                    </a:xfrm>
                    <a:prstGeom prst="rect">
                      <a:avLst/>
                    </a:prstGeom>
                  </pic:spPr>
                </pic:pic>
              </a:graphicData>
            </a:graphic>
          </wp:inline>
        </w:drawing>
      </w:r>
    </w:p>
    <w:p>
      <w:pPr>
        <w:pStyle w:val="Normal"/>
        <w:jc w:val="both"/>
        <w:rPr>
          <w:sz w:val="28"/>
          <w:szCs w:val="28"/>
        </w:rPr>
      </w:pPr>
      <w:r>
        <w:rPr>
          <w:rFonts w:cs="Times New Roman" w:ascii="Times New Roman" w:hAnsi="Times New Roman"/>
          <w:b/>
          <w:sz w:val="28"/>
          <w:szCs w:val="28"/>
          <w:lang w:val="ru-RU"/>
        </w:rPr>
        <w:t xml:space="preserve">Рисунок 5. </w:t>
      </w:r>
      <w:r>
        <w:rPr>
          <w:rFonts w:cs="Times New Roman" w:ascii="Times New Roman" w:hAnsi="Times New Roman"/>
          <w:b w:val="false"/>
          <w:bCs w:val="false"/>
          <w:sz w:val="28"/>
          <w:szCs w:val="28"/>
          <w:lang w:val="ru-RU"/>
        </w:rPr>
        <w:t>Н</w:t>
      </w:r>
      <w:r>
        <w:rPr>
          <w:rFonts w:cs="Times New Roman" w:ascii="Times New Roman" w:hAnsi="Times New Roman"/>
          <w:sz w:val="28"/>
          <w:szCs w:val="28"/>
          <w:lang w:val="ru-RU"/>
        </w:rPr>
        <w:t>а рисунке представлена схема последовательности взаимодействия компонентов технической системы управления и контроля в режиме реального времени для интегрального модуля лазерного диода и его радиочастотного драйвера в совокупности с носителем информации значительной ёмкости, с системой кодирования и декодирования носителя информации с он-лайн контролем соответствия кода от 3 синхронных сенсоров магнитной и резонансной спектроскопии и соответствующих процессоров аналитической обработки сигналов, объединённых элементами искусственного интеллекта и искусственными нейронными сетями одновременно передающими результаты аналитической обработки поступивших сигналов и формирующих и передающих управляющие и координирующие сигналы на все элементы и компоненты технической и технологической надсистемы.</w:t>
      </w:r>
    </w:p>
    <w:p>
      <w:pPr>
        <w:pStyle w:val="Normal"/>
        <w:jc w:val="both"/>
        <w:rPr>
          <w:rFonts w:ascii="Times New Roman" w:hAnsi="Times New Roman" w:cs="Times New Roman"/>
          <w:sz w:val="24"/>
          <w:szCs w:val="24"/>
          <w:lang w:val="ru-RU"/>
        </w:rPr>
      </w:pPr>
      <w:r>
        <w:rPr>
          <w:rFonts w:cs="Times New Roman" w:ascii="Times New Roman" w:hAnsi="Times New Roman"/>
          <w:sz w:val="28"/>
          <w:szCs w:val="28"/>
          <w:lang w:val="ru-RU"/>
        </w:rPr>
        <w:t>Цифрами на рисунке обозначены:</w:t>
      </w:r>
    </w:p>
    <w:p>
      <w:pPr>
        <w:pStyle w:val="Normal"/>
        <w:jc w:val="both"/>
        <w:rPr>
          <w:sz w:val="28"/>
          <w:szCs w:val="28"/>
        </w:rPr>
      </w:pPr>
      <w:r>
        <w:rPr>
          <w:rFonts w:cs="Times New Roman" w:ascii="Times New Roman" w:hAnsi="Times New Roman"/>
          <w:sz w:val="28"/>
          <w:szCs w:val="28"/>
          <w:lang w:val="ru-RU"/>
        </w:rPr>
        <w:t>1 – комплексная, в том числе и лазерная считывающая головка, а также локальная аналитическая система координируемая при помощи элементов искусственного интеллекта и искусственных нейронных сетей, конфигурация которых варьируется в зависимости от профиля поставленных задач и сложности оборудования.</w:t>
      </w:r>
    </w:p>
    <w:p>
      <w:pPr>
        <w:pStyle w:val="Normal"/>
        <w:jc w:val="both"/>
        <w:rPr>
          <w:sz w:val="28"/>
          <w:szCs w:val="28"/>
        </w:rPr>
      </w:pPr>
      <w:r>
        <w:rPr>
          <w:rFonts w:cs="Times New Roman" w:ascii="Times New Roman" w:hAnsi="Times New Roman"/>
          <w:sz w:val="28"/>
          <w:szCs w:val="28"/>
          <w:lang w:val="ru-RU"/>
        </w:rPr>
        <w:t>2 – промежуточная контрольная и аналитическая система, функционально связанная с процессором, входящим в надсистему и аккумулирующая сигналы от трёх сенсоров, измеряющих толщину контрольной ленты аккумулятора информации, удостоверяющая эквивалентность толщины контрольной ленты – коду и, при соответствии установленному коду, разрешающая проведение следующей по циклу операции.</w:t>
      </w:r>
    </w:p>
    <w:p>
      <w:pPr>
        <w:pStyle w:val="Normal"/>
        <w:jc w:val="both"/>
        <w:rPr>
          <w:sz w:val="28"/>
          <w:szCs w:val="28"/>
        </w:rPr>
      </w:pPr>
      <w:r>
        <w:rPr>
          <w:rFonts w:cs="Times New Roman" w:ascii="Times New Roman" w:hAnsi="Times New Roman"/>
          <w:sz w:val="28"/>
          <w:szCs w:val="28"/>
          <w:lang w:val="ru-RU"/>
        </w:rPr>
        <w:t>3 – ведущий процессор, входящий и контролирующий всю надсистему, включая входящую и исходящую информацию от элементов искусственного интеллекта и искусственных нейронных сетей.</w:t>
      </w:r>
    </w:p>
    <w:p>
      <w:pPr>
        <w:pStyle w:val="Normal"/>
        <w:jc w:val="both"/>
        <w:rPr>
          <w:sz w:val="28"/>
          <w:szCs w:val="28"/>
        </w:rPr>
      </w:pPr>
      <w:r>
        <w:rPr>
          <w:rFonts w:cs="Times New Roman" w:ascii="Times New Roman" w:hAnsi="Times New Roman"/>
          <w:sz w:val="28"/>
          <w:szCs w:val="28"/>
          <w:lang w:val="ru-RU"/>
        </w:rPr>
        <w:t>4 – аккумулятор информации, преимущественно многослойный, возможно – имеющий систему идентификации индивидуального кода, выражающегося в измерении при помощи магнитной и резонансной спектроскопии контрольной ленты аккумулятора информации, как правило изготовленной из пластичного металла, или нанесённой электрохимическим методом на периферию аккумулятора информации ( как правило диаметром 120 миллиметров ).</w:t>
      </w:r>
    </w:p>
    <w:p>
      <w:pPr>
        <w:pStyle w:val="Normal"/>
        <w:jc w:val="both"/>
        <w:rPr>
          <w:sz w:val="28"/>
          <w:szCs w:val="28"/>
        </w:rPr>
      </w:pPr>
      <w:r>
        <w:rPr>
          <w:rFonts w:cs="Times New Roman" w:ascii="Times New Roman" w:hAnsi="Times New Roman"/>
          <w:sz w:val="28"/>
          <w:szCs w:val="28"/>
          <w:lang w:val="ru-RU"/>
        </w:rPr>
        <w:t>5 – кодирующее кольцо на аккумуляторе информации, кодирующая толщина которого отличается на величину не более 1 микрона, что позволяет обеспечить множество вариантов кода и при помощи элементов искусственного интеллекта при взаимодействии с искусственными нейронными сетями способно в режиме реального времени группировать сигналы и выполнять роль диспетчера при их распределении между компонентами надсистемы.</w:t>
      </w:r>
    </w:p>
    <w:p>
      <w:pPr>
        <w:pStyle w:val="Normal"/>
        <w:jc w:val="both"/>
        <w:rPr>
          <w:sz w:val="28"/>
          <w:szCs w:val="28"/>
        </w:rPr>
      </w:pPr>
      <w:r>
        <w:rPr>
          <w:rFonts w:cs="Times New Roman" w:ascii="Times New Roman" w:hAnsi="Times New Roman"/>
          <w:sz w:val="28"/>
          <w:szCs w:val="28"/>
          <w:lang w:val="ru-RU"/>
        </w:rPr>
        <w:t>6 – условные изображения порций информации на треках аккумулятора информации, синхронно передаваемых на комплексную, в том числе и лазерную считывающую головку, а также локальную аналитическую систему координируемую при помощи элементов искусственного интеллекта и искусственных нейронных сетей, конфигурация которых варьируется в зависимости от профиля поставленных задач и сложности оборудования.</w:t>
      </w:r>
    </w:p>
    <w:p>
      <w:pPr>
        <w:pStyle w:val="Normal"/>
        <w:jc w:val="both"/>
        <w:rPr>
          <w:sz w:val="28"/>
          <w:szCs w:val="28"/>
        </w:rPr>
      </w:pPr>
      <w:r>
        <w:rPr>
          <w:rFonts w:cs="Times New Roman" w:ascii="Times New Roman" w:hAnsi="Times New Roman"/>
          <w:sz w:val="28"/>
          <w:szCs w:val="28"/>
          <w:lang w:val="ru-RU"/>
        </w:rPr>
        <w:t>7 – центровочное отверстие аккумулятора информации. В системе аккумулятор информации может также быть представлен в виде гибридного диска – накопителя информации и в этом случае его функции могут быть в значительной степени трансформированы, так как при использовании того же метода кодирования и декодирования, степень защиты технической надсистемы существенно повысится.</w:t>
      </w:r>
    </w:p>
    <w:p>
      <w:pPr>
        <w:pStyle w:val="Normal"/>
        <w:jc w:val="both"/>
        <w:rPr>
          <w:rFonts w:ascii="Times New Roman" w:hAnsi="Times New Roman" w:cs="Times New Roman"/>
          <w:b/>
          <w:b/>
          <w:sz w:val="28"/>
          <w:szCs w:val="28"/>
          <w:lang w:val="ru-RU"/>
        </w:rPr>
      </w:pPr>
      <w:r>
        <w:rPr>
          <w:rFonts w:cs="Times New Roman" w:ascii="Times New Roman" w:hAnsi="Times New Roman"/>
          <w:b/>
          <w:sz w:val="28"/>
          <w:szCs w:val="28"/>
          <w:lang w:val="ru-RU"/>
        </w:rPr>
      </w:r>
    </w:p>
    <w:p>
      <w:pPr>
        <w:pStyle w:val="Normal"/>
        <w:jc w:val="both"/>
        <w:rPr>
          <w:rFonts w:ascii="Times New Roman" w:hAnsi="Times New Roman" w:cs="Times New Roman"/>
          <w:b/>
          <w:b/>
          <w:sz w:val="24"/>
          <w:szCs w:val="24"/>
        </w:rPr>
      </w:pPr>
      <w:r>
        <w:rPr/>
        <w:drawing>
          <wp:inline distT="0" distB="0" distL="0" distR="0">
            <wp:extent cx="5943600" cy="5288280"/>
            <wp:effectExtent l="0" t="0" r="0" b="0"/>
            <wp:docPr id="6" name="Picture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5" descr=""/>
                    <pic:cNvPicPr>
                      <a:picLocks noChangeAspect="1" noChangeArrowheads="1"/>
                    </pic:cNvPicPr>
                  </pic:nvPicPr>
                  <pic:blipFill>
                    <a:blip r:embed="rId7"/>
                    <a:stretch>
                      <a:fillRect/>
                    </a:stretch>
                  </pic:blipFill>
                  <pic:spPr bwMode="auto">
                    <a:xfrm>
                      <a:off x="0" y="0"/>
                      <a:ext cx="5943600" cy="5288280"/>
                    </a:xfrm>
                    <a:prstGeom prst="rect">
                      <a:avLst/>
                    </a:prstGeom>
                  </pic:spPr>
                </pic:pic>
              </a:graphicData>
            </a:graphic>
          </wp:inline>
        </w:drawing>
      </w:r>
    </w:p>
    <w:p>
      <w:pPr>
        <w:pStyle w:val="Normal"/>
        <w:jc w:val="both"/>
        <w:rPr>
          <w:sz w:val="28"/>
          <w:szCs w:val="28"/>
        </w:rPr>
      </w:pPr>
      <w:r>
        <w:rPr>
          <w:rFonts w:cs="Times New Roman" w:ascii="Times New Roman" w:hAnsi="Times New Roman"/>
          <w:b/>
          <w:sz w:val="28"/>
          <w:szCs w:val="28"/>
          <w:lang w:val="ru-RU"/>
        </w:rPr>
        <w:t xml:space="preserve">Рисунок 6. </w:t>
      </w:r>
      <w:r>
        <w:rPr>
          <w:rFonts w:cs="Times New Roman" w:ascii="Times New Roman" w:hAnsi="Times New Roman"/>
          <w:b w:val="false"/>
          <w:bCs w:val="false"/>
          <w:sz w:val="28"/>
          <w:szCs w:val="28"/>
          <w:lang w:val="ru-RU"/>
        </w:rPr>
        <w:t>Н</w:t>
      </w:r>
      <w:r>
        <w:rPr>
          <w:rFonts w:cs="Times New Roman" w:ascii="Times New Roman" w:hAnsi="Times New Roman"/>
          <w:sz w:val="28"/>
          <w:szCs w:val="28"/>
          <w:lang w:val="ru-RU"/>
        </w:rPr>
        <w:t>а рисунке представлен аккумулятор информации с ориентировочными размерами конструктивных элементов, влияющих на конечный результат и качество работы аккумулятора информации в технической надсистеме.</w:t>
      </w:r>
    </w:p>
    <w:p>
      <w:pPr>
        <w:pStyle w:val="Normal"/>
        <w:jc w:val="both"/>
        <w:rPr>
          <w:rFonts w:ascii="Times New Roman" w:hAnsi="Times New Roman" w:cs="Times New Roman"/>
          <w:sz w:val="24"/>
          <w:szCs w:val="24"/>
          <w:lang w:val="ru-RU"/>
        </w:rPr>
      </w:pPr>
      <w:r>
        <w:rPr>
          <w:rFonts w:cs="Times New Roman" w:ascii="Times New Roman" w:hAnsi="Times New Roman"/>
          <w:sz w:val="28"/>
          <w:szCs w:val="28"/>
          <w:lang w:val="ru-RU"/>
        </w:rPr>
        <w:t>Цифрами на рисунке обозначены:</w:t>
      </w:r>
    </w:p>
    <w:p>
      <w:pPr>
        <w:pStyle w:val="Normal"/>
        <w:jc w:val="both"/>
        <w:rPr>
          <w:rFonts w:ascii="Times New Roman" w:hAnsi="Times New Roman" w:cs="Times New Roman"/>
          <w:sz w:val="24"/>
          <w:szCs w:val="24"/>
          <w:lang w:val="ru-RU"/>
        </w:rPr>
      </w:pPr>
      <w:r>
        <w:rPr>
          <w:rFonts w:cs="Times New Roman" w:ascii="Times New Roman" w:hAnsi="Times New Roman"/>
          <w:sz w:val="28"/>
          <w:szCs w:val="28"/>
          <w:lang w:val="ru-RU"/>
        </w:rPr>
        <w:t>1 – радиочастотный драйвер технической системы</w:t>
      </w:r>
    </w:p>
    <w:p>
      <w:pPr>
        <w:pStyle w:val="Normal"/>
        <w:jc w:val="both"/>
        <w:rPr>
          <w:rFonts w:ascii="Times New Roman" w:hAnsi="Times New Roman" w:cs="Times New Roman"/>
          <w:sz w:val="24"/>
          <w:szCs w:val="24"/>
          <w:lang w:val="ru-RU"/>
        </w:rPr>
      </w:pPr>
      <w:r>
        <w:rPr>
          <w:rFonts w:cs="Times New Roman" w:ascii="Times New Roman" w:hAnsi="Times New Roman"/>
          <w:sz w:val="28"/>
          <w:szCs w:val="28"/>
          <w:lang w:val="ru-RU"/>
        </w:rPr>
        <w:t>2 – комплексный процессор управления и контроля технической системы</w:t>
      </w:r>
    </w:p>
    <w:p>
      <w:pPr>
        <w:pStyle w:val="Normal"/>
        <w:jc w:val="both"/>
        <w:rPr>
          <w:rFonts w:ascii="Times New Roman" w:hAnsi="Times New Roman" w:cs="Times New Roman"/>
          <w:sz w:val="24"/>
          <w:szCs w:val="24"/>
          <w:lang w:val="ru-RU"/>
        </w:rPr>
      </w:pPr>
      <w:r>
        <w:rPr>
          <w:rFonts w:cs="Times New Roman" w:ascii="Times New Roman" w:hAnsi="Times New Roman"/>
          <w:sz w:val="28"/>
          <w:szCs w:val="28"/>
          <w:lang w:val="ru-RU"/>
        </w:rPr>
        <w:t>3 – кодирующее кольцо</w:t>
      </w:r>
    </w:p>
    <w:p>
      <w:pPr>
        <w:pStyle w:val="Normal"/>
        <w:jc w:val="both"/>
        <w:rPr>
          <w:rFonts w:ascii="Times New Roman" w:hAnsi="Times New Roman" w:cs="Times New Roman"/>
          <w:sz w:val="24"/>
          <w:szCs w:val="24"/>
          <w:lang w:val="ru-RU"/>
        </w:rPr>
      </w:pPr>
      <w:r>
        <w:rPr>
          <w:rFonts w:cs="Times New Roman" w:ascii="Times New Roman" w:hAnsi="Times New Roman"/>
          <w:sz w:val="28"/>
          <w:szCs w:val="28"/>
          <w:lang w:val="ru-RU"/>
        </w:rPr>
        <w:t>4 – верхняя панель корпуса аккумулятора информации</w:t>
      </w:r>
    </w:p>
    <w:p>
      <w:pPr>
        <w:pStyle w:val="Normal"/>
        <w:jc w:val="both"/>
        <w:rPr>
          <w:rFonts w:ascii="Times New Roman" w:hAnsi="Times New Roman" w:cs="Times New Roman"/>
          <w:sz w:val="24"/>
          <w:szCs w:val="24"/>
          <w:lang w:val="ru-RU"/>
        </w:rPr>
      </w:pPr>
      <w:r>
        <w:rPr>
          <w:rFonts w:cs="Times New Roman" w:ascii="Times New Roman" w:hAnsi="Times New Roman"/>
          <w:sz w:val="28"/>
          <w:szCs w:val="28"/>
          <w:lang w:val="ru-RU"/>
        </w:rPr>
        <w:t>5 – максимальный наружный диаметр диска аккумулятора информации</w:t>
      </w:r>
    </w:p>
    <w:p>
      <w:pPr>
        <w:pStyle w:val="Normal"/>
        <w:jc w:val="both"/>
        <w:rPr>
          <w:rFonts w:ascii="Times New Roman" w:hAnsi="Times New Roman" w:cs="Times New Roman"/>
          <w:sz w:val="24"/>
          <w:szCs w:val="24"/>
          <w:lang w:val="ru-RU"/>
        </w:rPr>
      </w:pPr>
      <w:r>
        <w:rPr>
          <w:rFonts w:cs="Times New Roman" w:ascii="Times New Roman" w:hAnsi="Times New Roman"/>
          <w:sz w:val="28"/>
          <w:szCs w:val="28"/>
          <w:lang w:val="ru-RU"/>
        </w:rPr>
        <w:t>6 – центровочный фланец верхней панели корпуса аккумулятора информации</w:t>
      </w:r>
    </w:p>
    <w:p>
      <w:pPr>
        <w:pStyle w:val="Normal"/>
        <w:jc w:val="left"/>
        <w:rPr>
          <w:sz w:val="28"/>
          <w:szCs w:val="28"/>
        </w:rPr>
      </w:pPr>
      <w:r>
        <w:rPr>
          <w:rFonts w:cs="Times New Roman" w:ascii="Times New Roman" w:hAnsi="Times New Roman"/>
          <w:sz w:val="28"/>
          <w:szCs w:val="28"/>
          <w:lang w:val="ru-RU"/>
        </w:rPr>
        <w:t>7 – центровочное отверстие верхней панели корпуса аккумулятора информации</w:t>
      </w:r>
    </w:p>
    <w:p>
      <w:pPr>
        <w:pStyle w:val="Normal"/>
        <w:jc w:val="both"/>
        <w:rPr>
          <w:rFonts w:ascii="Times New Roman" w:hAnsi="Times New Roman" w:cs="Times New Roman"/>
          <w:b/>
          <w:b/>
          <w:sz w:val="28"/>
          <w:szCs w:val="28"/>
          <w:lang w:val="ru-RU"/>
        </w:rPr>
      </w:pPr>
      <w:r>
        <w:rPr>
          <w:rFonts w:cs="Times New Roman" w:ascii="Times New Roman" w:hAnsi="Times New Roman"/>
          <w:b/>
          <w:sz w:val="28"/>
          <w:szCs w:val="28"/>
          <w:lang w:val="ru-RU"/>
        </w:rPr>
      </w:r>
    </w:p>
    <w:p>
      <w:pPr>
        <w:pStyle w:val="Normal"/>
        <w:jc w:val="both"/>
        <w:rPr>
          <w:rFonts w:ascii="Times New Roman" w:hAnsi="Times New Roman" w:cs="Times New Roman"/>
          <w:b/>
          <w:b/>
          <w:sz w:val="24"/>
          <w:szCs w:val="24"/>
        </w:rPr>
      </w:pPr>
      <w:r>
        <w:rPr/>
        <w:drawing>
          <wp:inline distT="0" distB="0" distL="0" distR="0">
            <wp:extent cx="5943600" cy="2763520"/>
            <wp:effectExtent l="0" t="0" r="0" b="0"/>
            <wp:docPr id="7" name="Picture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6" descr=""/>
                    <pic:cNvPicPr>
                      <a:picLocks noChangeAspect="1" noChangeArrowheads="1"/>
                    </pic:cNvPicPr>
                  </pic:nvPicPr>
                  <pic:blipFill>
                    <a:blip r:embed="rId8"/>
                    <a:stretch>
                      <a:fillRect/>
                    </a:stretch>
                  </pic:blipFill>
                  <pic:spPr bwMode="auto">
                    <a:xfrm>
                      <a:off x="0" y="0"/>
                      <a:ext cx="5943600" cy="2763520"/>
                    </a:xfrm>
                    <a:prstGeom prst="rect">
                      <a:avLst/>
                    </a:prstGeom>
                  </pic:spPr>
                </pic:pic>
              </a:graphicData>
            </a:graphic>
          </wp:inline>
        </w:drawing>
      </w:r>
    </w:p>
    <w:p>
      <w:pPr>
        <w:pStyle w:val="Normal"/>
        <w:jc w:val="both"/>
        <w:rPr>
          <w:sz w:val="28"/>
          <w:szCs w:val="28"/>
        </w:rPr>
      </w:pPr>
      <w:r>
        <w:rPr>
          <w:rFonts w:cs="Times New Roman" w:ascii="Times New Roman" w:hAnsi="Times New Roman"/>
          <w:b/>
          <w:sz w:val="28"/>
          <w:szCs w:val="28"/>
          <w:lang w:val="ru-RU"/>
        </w:rPr>
        <w:t xml:space="preserve">Рисунок 7. </w:t>
      </w:r>
      <w:r>
        <w:rPr>
          <w:rFonts w:cs="Times New Roman" w:ascii="Times New Roman" w:hAnsi="Times New Roman"/>
          <w:b w:val="false"/>
          <w:bCs w:val="false"/>
          <w:sz w:val="28"/>
          <w:szCs w:val="28"/>
          <w:lang w:val="ru-RU"/>
        </w:rPr>
        <w:t>Н</w:t>
      </w:r>
      <w:r>
        <w:rPr>
          <w:rFonts w:cs="Times New Roman" w:ascii="Times New Roman" w:hAnsi="Times New Roman"/>
          <w:sz w:val="28"/>
          <w:szCs w:val="28"/>
          <w:lang w:val="ru-RU"/>
        </w:rPr>
        <w:t>а рисунке в сечении показана композитная структура многослойного накопителя информации, пригодного по объёму информации и по быстродействию для работы в технических системах в управляющих и контрольных устройствах которых имеются элементы искусственного интеллекта и искусственные нейронные сети.</w:t>
      </w:r>
    </w:p>
    <w:p>
      <w:pPr>
        <w:pStyle w:val="Normal"/>
        <w:jc w:val="both"/>
        <w:rPr>
          <w:rFonts w:ascii="Times New Roman" w:hAnsi="Times New Roman" w:cs="Times New Roman"/>
          <w:sz w:val="24"/>
          <w:szCs w:val="24"/>
          <w:lang w:val="ru-RU"/>
        </w:rPr>
      </w:pPr>
      <w:r>
        <w:rPr>
          <w:rFonts w:cs="Times New Roman" w:ascii="Times New Roman" w:hAnsi="Times New Roman"/>
          <w:sz w:val="28"/>
          <w:szCs w:val="28"/>
          <w:lang w:val="ru-RU"/>
        </w:rPr>
        <w:t>Цифрами на рисунке обозначены:</w:t>
      </w:r>
    </w:p>
    <w:p>
      <w:pPr>
        <w:pStyle w:val="Normal"/>
        <w:jc w:val="both"/>
        <w:rPr>
          <w:rFonts w:ascii="Times New Roman" w:hAnsi="Times New Roman" w:cs="Times New Roman"/>
          <w:sz w:val="24"/>
          <w:szCs w:val="24"/>
          <w:lang w:val="ru-RU"/>
        </w:rPr>
      </w:pPr>
      <w:r>
        <w:rPr>
          <w:rFonts w:cs="Times New Roman" w:ascii="Times New Roman" w:hAnsi="Times New Roman"/>
          <w:sz w:val="28"/>
          <w:szCs w:val="28"/>
          <w:lang w:val="ru-RU"/>
        </w:rPr>
        <w:t>101 – дно основания многослойного накопителя ( аккумулятора ) информации. Весь накопитель выполнен из оптически прозрачного материала. С внешней стороны к дну основания может быть присоединён несущий элемент жёсткого магнитного диска, тогда вся система будет представлять собой – гибридный аккумулятор информации</w:t>
      </w:r>
    </w:p>
    <w:p>
      <w:pPr>
        <w:pStyle w:val="Normal"/>
        <w:jc w:val="both"/>
        <w:rPr>
          <w:rFonts w:ascii="Times New Roman" w:hAnsi="Times New Roman" w:cs="Times New Roman"/>
          <w:sz w:val="24"/>
          <w:szCs w:val="24"/>
          <w:lang w:val="ru-RU"/>
        </w:rPr>
      </w:pPr>
      <w:r>
        <w:rPr>
          <w:rFonts w:cs="Times New Roman" w:ascii="Times New Roman" w:hAnsi="Times New Roman"/>
          <w:sz w:val="28"/>
          <w:szCs w:val="28"/>
          <w:lang w:val="ru-RU"/>
        </w:rPr>
        <w:t>105 – центровочное отверстие многослойного накопителя ( аккумулятора ) информации</w:t>
      </w:r>
    </w:p>
    <w:p>
      <w:pPr>
        <w:pStyle w:val="Normal"/>
        <w:jc w:val="both"/>
        <w:rPr>
          <w:rFonts w:ascii="Times New Roman" w:hAnsi="Times New Roman" w:cs="Times New Roman"/>
          <w:sz w:val="24"/>
          <w:szCs w:val="24"/>
          <w:lang w:val="ru-RU"/>
        </w:rPr>
      </w:pPr>
      <w:r>
        <w:rPr>
          <w:rFonts w:cs="Times New Roman" w:ascii="Times New Roman" w:hAnsi="Times New Roman"/>
          <w:sz w:val="28"/>
          <w:szCs w:val="28"/>
          <w:lang w:val="ru-RU"/>
        </w:rPr>
        <w:t>301 – верхний торец втулки центровочного отверстия</w:t>
      </w:r>
    </w:p>
    <w:p>
      <w:pPr>
        <w:pStyle w:val="Normal"/>
        <w:jc w:val="both"/>
        <w:rPr>
          <w:rFonts w:ascii="Times New Roman" w:hAnsi="Times New Roman" w:cs="Times New Roman"/>
          <w:sz w:val="24"/>
          <w:szCs w:val="24"/>
          <w:lang w:val="ru-RU"/>
        </w:rPr>
      </w:pPr>
      <w:r>
        <w:rPr>
          <w:rFonts w:cs="Times New Roman" w:ascii="Times New Roman" w:hAnsi="Times New Roman"/>
          <w:sz w:val="28"/>
          <w:szCs w:val="28"/>
          <w:lang w:val="ru-RU"/>
        </w:rPr>
        <w:t>303 – верхний торец втулки корпуса накопителя ( аккумулятора ) информации</w:t>
      </w:r>
    </w:p>
    <w:p>
      <w:pPr>
        <w:pStyle w:val="Normal"/>
        <w:jc w:val="both"/>
        <w:rPr>
          <w:rFonts w:ascii="Times New Roman" w:hAnsi="Times New Roman" w:cs="Times New Roman"/>
          <w:sz w:val="24"/>
          <w:szCs w:val="24"/>
          <w:lang w:val="ru-RU"/>
        </w:rPr>
      </w:pPr>
      <w:r>
        <w:rPr>
          <w:rFonts w:cs="Times New Roman" w:ascii="Times New Roman" w:hAnsi="Times New Roman"/>
          <w:sz w:val="28"/>
          <w:szCs w:val="28"/>
          <w:lang w:val="ru-RU"/>
        </w:rPr>
        <w:t>401 – втулка центровочного отверстия накопителя ( аккумулятора ) информации</w:t>
      </w:r>
    </w:p>
    <w:p>
      <w:pPr>
        <w:pStyle w:val="Normal"/>
        <w:jc w:val="both"/>
        <w:rPr>
          <w:rFonts w:ascii="Times New Roman" w:hAnsi="Times New Roman" w:cs="Times New Roman"/>
          <w:sz w:val="24"/>
          <w:szCs w:val="24"/>
          <w:lang w:val="ru-RU"/>
        </w:rPr>
      </w:pPr>
      <w:r>
        <w:rPr>
          <w:rFonts w:cs="Times New Roman" w:ascii="Times New Roman" w:hAnsi="Times New Roman"/>
          <w:sz w:val="28"/>
          <w:szCs w:val="28"/>
          <w:lang w:val="ru-RU"/>
        </w:rPr>
        <w:t>901 – один информационный слой после заливки, полимеризации и прессования структуры отформатированных информационных треков</w:t>
      </w:r>
    </w:p>
    <w:p>
      <w:pPr>
        <w:pStyle w:val="Normal"/>
        <w:jc w:val="both"/>
        <w:rPr>
          <w:rFonts w:ascii="Times New Roman" w:hAnsi="Times New Roman" w:cs="Times New Roman"/>
          <w:sz w:val="24"/>
          <w:szCs w:val="24"/>
          <w:lang w:val="ru-RU"/>
        </w:rPr>
      </w:pPr>
      <w:r>
        <w:rPr>
          <w:rFonts w:cs="Times New Roman" w:ascii="Times New Roman" w:hAnsi="Times New Roman"/>
          <w:sz w:val="28"/>
          <w:szCs w:val="28"/>
          <w:lang w:val="ru-RU"/>
        </w:rPr>
        <w:t>902 – толщина одного информационного слоя - 0.05 миллиметра</w:t>
      </w:r>
    </w:p>
    <w:p>
      <w:pPr>
        <w:pStyle w:val="Normal"/>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jc w:val="both"/>
        <w:rPr>
          <w:rFonts w:ascii="Times New Roman" w:hAnsi="Times New Roman" w:cs="Times New Roman"/>
          <w:b/>
          <w:b/>
          <w:sz w:val="28"/>
          <w:szCs w:val="28"/>
          <w:lang w:val="ru-RU"/>
        </w:rPr>
      </w:pPr>
      <w:r>
        <w:rPr>
          <w:rFonts w:cs="Times New Roman" w:ascii="Times New Roman" w:hAnsi="Times New Roman"/>
          <w:b/>
          <w:sz w:val="28"/>
          <w:szCs w:val="28"/>
          <w:lang w:val="ru-RU"/>
        </w:rPr>
      </w:r>
    </w:p>
    <w:p>
      <w:pPr>
        <w:pStyle w:val="Normal"/>
        <w:jc w:val="both"/>
        <w:rPr>
          <w:rFonts w:ascii="Times New Roman" w:hAnsi="Times New Roman" w:cs="Times New Roman"/>
          <w:b/>
          <w:b/>
          <w:sz w:val="24"/>
          <w:szCs w:val="24"/>
        </w:rPr>
      </w:pPr>
      <w:r>
        <w:rPr/>
        <w:drawing>
          <wp:inline distT="0" distB="0" distL="0" distR="0">
            <wp:extent cx="5943600" cy="3463290"/>
            <wp:effectExtent l="0" t="0" r="0" b="0"/>
            <wp:docPr id="8" name="Picture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7" descr=""/>
                    <pic:cNvPicPr>
                      <a:picLocks noChangeAspect="1" noChangeArrowheads="1"/>
                    </pic:cNvPicPr>
                  </pic:nvPicPr>
                  <pic:blipFill>
                    <a:blip r:embed="rId9"/>
                    <a:stretch>
                      <a:fillRect/>
                    </a:stretch>
                  </pic:blipFill>
                  <pic:spPr bwMode="auto">
                    <a:xfrm>
                      <a:off x="0" y="0"/>
                      <a:ext cx="5943600" cy="3463290"/>
                    </a:xfrm>
                    <a:prstGeom prst="rect">
                      <a:avLst/>
                    </a:prstGeom>
                  </pic:spPr>
                </pic:pic>
              </a:graphicData>
            </a:graphic>
          </wp:inline>
        </w:drawing>
      </w:r>
    </w:p>
    <w:p>
      <w:pPr>
        <w:pStyle w:val="Normal"/>
        <w:jc w:val="both"/>
        <w:rPr>
          <w:sz w:val="28"/>
          <w:szCs w:val="28"/>
        </w:rPr>
      </w:pPr>
      <w:r>
        <w:rPr>
          <w:rFonts w:cs="Times New Roman" w:ascii="Times New Roman" w:hAnsi="Times New Roman"/>
          <w:b/>
          <w:sz w:val="28"/>
          <w:szCs w:val="28"/>
          <w:lang w:val="ru-RU"/>
        </w:rPr>
        <w:t xml:space="preserve">Рисунок 8. </w:t>
      </w:r>
      <w:r>
        <w:rPr>
          <w:rFonts w:cs="Times New Roman" w:ascii="Times New Roman" w:hAnsi="Times New Roman"/>
          <w:b w:val="false"/>
          <w:bCs w:val="false"/>
          <w:sz w:val="28"/>
          <w:szCs w:val="28"/>
          <w:lang w:val="ru-RU"/>
        </w:rPr>
        <w:t>Н</w:t>
      </w:r>
      <w:r>
        <w:rPr>
          <w:rFonts w:cs="Times New Roman" w:ascii="Times New Roman" w:hAnsi="Times New Roman"/>
          <w:sz w:val="28"/>
          <w:szCs w:val="28"/>
          <w:lang w:val="ru-RU"/>
        </w:rPr>
        <w:t>а рисунке в сечении показано литое из оптически прозрачного пластика основание многослойного накопителя информации. Такая конструкция позволяет также изготовление этого основания из непрозрачного материала, например, бериллия, для того, что бы можно было модифицировать накопитель информации в гибридный накопитель информации у которого совмещены функции жёсткого магнитного диска и оптического диска.</w:t>
      </w:r>
    </w:p>
    <w:p>
      <w:pPr>
        <w:pStyle w:val="Normal"/>
        <w:jc w:val="both"/>
        <w:rPr>
          <w:rFonts w:ascii="Times New Roman" w:hAnsi="Times New Roman" w:cs="Times New Roman"/>
          <w:sz w:val="24"/>
          <w:szCs w:val="24"/>
          <w:lang w:val="ru-RU"/>
        </w:rPr>
      </w:pPr>
      <w:r>
        <w:rPr>
          <w:rFonts w:cs="Times New Roman" w:ascii="Times New Roman" w:hAnsi="Times New Roman"/>
          <w:sz w:val="28"/>
          <w:szCs w:val="28"/>
          <w:lang w:val="ru-RU"/>
        </w:rPr>
        <w:t>Цифрами на рисунке обозначены:</w:t>
      </w:r>
    </w:p>
    <w:p>
      <w:pPr>
        <w:pStyle w:val="Normal"/>
        <w:jc w:val="both"/>
        <w:rPr>
          <w:rFonts w:ascii="Times New Roman" w:hAnsi="Times New Roman" w:cs="Times New Roman"/>
          <w:sz w:val="24"/>
          <w:szCs w:val="24"/>
          <w:lang w:val="ru-RU"/>
        </w:rPr>
      </w:pPr>
      <w:r>
        <w:rPr>
          <w:rFonts w:cs="Times New Roman" w:ascii="Times New Roman" w:hAnsi="Times New Roman"/>
          <w:sz w:val="28"/>
          <w:szCs w:val="28"/>
          <w:lang w:val="ru-RU"/>
        </w:rPr>
        <w:t>101 – дно основания многослойного накопителя ( аккумулятора ) информации. Весь накопитель может быть выполнен из оптически прозрачного материала или он может быть выполнен из лёгкого металла - как алюминий или в настоящее время отрабатывается технология изготовления его из бериллия. В этом случае скорость вращения накопителя может быть существенно увеличена, что резко повысит эффективность многослойного накопителя информации.</w:t>
      </w:r>
    </w:p>
    <w:p>
      <w:pPr>
        <w:pStyle w:val="Normal"/>
        <w:jc w:val="both"/>
        <w:rPr>
          <w:sz w:val="28"/>
          <w:szCs w:val="28"/>
        </w:rPr>
      </w:pPr>
      <w:r>
        <w:rPr>
          <w:rFonts w:cs="Times New Roman" w:ascii="Times New Roman" w:hAnsi="Times New Roman"/>
          <w:sz w:val="28"/>
          <w:szCs w:val="28"/>
          <w:lang w:val="ru-RU"/>
        </w:rPr>
        <w:t>С внешней стороны к дну основания может быть присоединён несущий элемент жёсткого магнитного диска, тогда вся система будет представлять собой – гибридный аккумулятор информации.</w:t>
      </w:r>
    </w:p>
    <w:p>
      <w:pPr>
        <w:pStyle w:val="Normal"/>
        <w:jc w:val="both"/>
        <w:rPr>
          <w:rFonts w:ascii="Times New Roman" w:hAnsi="Times New Roman" w:cs="Times New Roman"/>
          <w:sz w:val="24"/>
          <w:szCs w:val="24"/>
          <w:lang w:val="ru-RU"/>
        </w:rPr>
      </w:pPr>
      <w:r>
        <w:rPr>
          <w:rFonts w:cs="Times New Roman" w:ascii="Times New Roman" w:hAnsi="Times New Roman"/>
          <w:sz w:val="28"/>
          <w:szCs w:val="28"/>
          <w:lang w:val="ru-RU"/>
        </w:rPr>
        <w:t>105 – центрирующее и ориентирующее отверстие</w:t>
      </w:r>
    </w:p>
    <w:p>
      <w:pPr>
        <w:pStyle w:val="Normal"/>
        <w:jc w:val="both"/>
        <w:rPr>
          <w:rFonts w:ascii="Times New Roman" w:hAnsi="Times New Roman" w:cs="Times New Roman"/>
          <w:sz w:val="24"/>
          <w:szCs w:val="24"/>
          <w:lang w:val="ru-RU"/>
        </w:rPr>
      </w:pPr>
      <w:r>
        <w:rPr>
          <w:rFonts w:cs="Times New Roman" w:ascii="Times New Roman" w:hAnsi="Times New Roman"/>
          <w:sz w:val="28"/>
          <w:szCs w:val="28"/>
          <w:lang w:val="ru-RU"/>
        </w:rPr>
        <w:t>301 – верхний торец основания</w:t>
      </w:r>
    </w:p>
    <w:p>
      <w:pPr>
        <w:pStyle w:val="Normal"/>
        <w:jc w:val="both"/>
        <w:rPr>
          <w:rFonts w:ascii="Times New Roman" w:hAnsi="Times New Roman" w:cs="Times New Roman"/>
          <w:sz w:val="24"/>
          <w:szCs w:val="24"/>
          <w:lang w:val="ru-RU"/>
        </w:rPr>
      </w:pPr>
      <w:r>
        <w:rPr>
          <w:rFonts w:cs="Times New Roman" w:ascii="Times New Roman" w:hAnsi="Times New Roman"/>
          <w:sz w:val="28"/>
          <w:szCs w:val="28"/>
          <w:lang w:val="ru-RU"/>
        </w:rPr>
        <w:t>302 – наружная поверхность основания, как правило диаметром 120 миллиметров</w:t>
      </w:r>
    </w:p>
    <w:p>
      <w:pPr>
        <w:pStyle w:val="Normal"/>
        <w:jc w:val="both"/>
        <w:rPr>
          <w:rFonts w:ascii="Times New Roman" w:hAnsi="Times New Roman" w:cs="Times New Roman"/>
          <w:sz w:val="24"/>
          <w:szCs w:val="24"/>
          <w:lang w:val="ru-RU"/>
        </w:rPr>
      </w:pPr>
      <w:r>
        <w:rPr>
          <w:rFonts w:cs="Times New Roman" w:ascii="Times New Roman" w:hAnsi="Times New Roman"/>
          <w:sz w:val="28"/>
          <w:szCs w:val="28"/>
          <w:lang w:val="ru-RU"/>
        </w:rPr>
        <w:t>303 – наружная цилиндрическая поверхность основания, толщина стенки ориентировочно – 1 миллиметр</w:t>
      </w:r>
    </w:p>
    <w:p>
      <w:pPr>
        <w:pStyle w:val="Normal"/>
        <w:jc w:val="both"/>
        <w:rPr>
          <w:rFonts w:ascii="Times New Roman" w:hAnsi="Times New Roman" w:cs="Times New Roman"/>
          <w:sz w:val="24"/>
          <w:szCs w:val="24"/>
          <w:lang w:val="ru-RU"/>
        </w:rPr>
      </w:pPr>
      <w:r>
        <w:rPr>
          <w:rFonts w:cs="Times New Roman" w:ascii="Times New Roman" w:hAnsi="Times New Roman"/>
          <w:sz w:val="28"/>
          <w:szCs w:val="28"/>
          <w:lang w:val="ru-RU"/>
        </w:rPr>
        <w:t>401 – внутренняя центрирующая втулка основания, как правило внутренний диаметр – 15 миллиметров</w:t>
      </w:r>
    </w:p>
    <w:p>
      <w:pPr>
        <w:pStyle w:val="Normal"/>
        <w:jc w:val="left"/>
        <w:rPr>
          <w:rFonts w:ascii="Times New Roman" w:hAnsi="Times New Roman" w:cs="Times New Roman"/>
          <w:sz w:val="24"/>
          <w:szCs w:val="24"/>
          <w:lang w:val="ru-RU"/>
        </w:rPr>
      </w:pPr>
      <w:r>
        <w:rPr>
          <w:rFonts w:cs="Times New Roman" w:ascii="Times New Roman" w:hAnsi="Times New Roman"/>
          <w:sz w:val="28"/>
          <w:szCs w:val="28"/>
          <w:lang w:val="ru-RU"/>
        </w:rPr>
        <w:t>402 – дно основания многослойного накопителя ( аккумулятора ) информации</w:t>
      </w:r>
    </w:p>
    <w:p>
      <w:pPr>
        <w:pStyle w:val="Normal"/>
        <w:jc w:val="both"/>
        <w:rPr>
          <w:rFonts w:ascii="Times New Roman" w:hAnsi="Times New Roman" w:cs="Times New Roman"/>
          <w:b/>
          <w:b/>
          <w:sz w:val="24"/>
          <w:szCs w:val="24"/>
        </w:rPr>
      </w:pPr>
      <w:r>
        <w:rPr/>
        <w:drawing>
          <wp:inline distT="0" distB="0" distL="0" distR="0">
            <wp:extent cx="5943600" cy="2193290"/>
            <wp:effectExtent l="0" t="0" r="0" b="0"/>
            <wp:docPr id="9" name="Picture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8" descr=""/>
                    <pic:cNvPicPr>
                      <a:picLocks noChangeAspect="1" noChangeArrowheads="1"/>
                    </pic:cNvPicPr>
                  </pic:nvPicPr>
                  <pic:blipFill>
                    <a:blip r:embed="rId10"/>
                    <a:stretch>
                      <a:fillRect/>
                    </a:stretch>
                  </pic:blipFill>
                  <pic:spPr bwMode="auto">
                    <a:xfrm>
                      <a:off x="0" y="0"/>
                      <a:ext cx="5943600" cy="2193290"/>
                    </a:xfrm>
                    <a:prstGeom prst="rect">
                      <a:avLst/>
                    </a:prstGeom>
                  </pic:spPr>
                </pic:pic>
              </a:graphicData>
            </a:graphic>
          </wp:inline>
        </w:drawing>
      </w:r>
    </w:p>
    <w:p>
      <w:pPr>
        <w:pStyle w:val="Normal"/>
        <w:jc w:val="both"/>
        <w:rPr>
          <w:sz w:val="28"/>
          <w:szCs w:val="28"/>
        </w:rPr>
      </w:pPr>
      <w:r>
        <w:rPr>
          <w:rFonts w:cs="Times New Roman" w:ascii="Times New Roman" w:hAnsi="Times New Roman"/>
          <w:b/>
          <w:sz w:val="28"/>
          <w:szCs w:val="28"/>
          <w:lang w:val="ru-RU"/>
        </w:rPr>
        <w:t xml:space="preserve">Рисунок 9. </w:t>
      </w:r>
      <w:r>
        <w:rPr>
          <w:rFonts w:cs="Times New Roman" w:ascii="Times New Roman" w:hAnsi="Times New Roman"/>
          <w:b w:val="false"/>
          <w:bCs w:val="false"/>
          <w:sz w:val="28"/>
          <w:szCs w:val="28"/>
          <w:lang w:val="ru-RU"/>
        </w:rPr>
        <w:t>Н</w:t>
      </w:r>
      <w:r>
        <w:rPr>
          <w:rFonts w:cs="Times New Roman" w:ascii="Times New Roman" w:hAnsi="Times New Roman"/>
          <w:sz w:val="28"/>
          <w:szCs w:val="28"/>
          <w:lang w:val="ru-RU"/>
        </w:rPr>
        <w:t>а рисунке в сечении показано основание накопителя информации с первым слоем многослойной структуры накопителя, на котором, как правило треки для записи информации наносятся методами полиграфии, а не оптического лазерного форматирования.</w:t>
      </w:r>
    </w:p>
    <w:p>
      <w:pPr>
        <w:pStyle w:val="Normal"/>
        <w:jc w:val="both"/>
        <w:rPr>
          <w:sz w:val="28"/>
          <w:szCs w:val="28"/>
        </w:rPr>
      </w:pPr>
      <w:r>
        <w:rPr>
          <w:rFonts w:cs="Times New Roman" w:ascii="Times New Roman" w:hAnsi="Times New Roman"/>
          <w:sz w:val="28"/>
          <w:szCs w:val="28"/>
          <w:lang w:val="ru-RU"/>
        </w:rPr>
        <w:t>Такой вариант форматирования повышает надёжность записи информации и существенно увеличивает скорость нахождения и получения информации.</w:t>
      </w:r>
    </w:p>
    <w:p>
      <w:pPr>
        <w:pStyle w:val="Normal"/>
        <w:jc w:val="both"/>
        <w:rPr>
          <w:sz w:val="28"/>
          <w:szCs w:val="28"/>
        </w:rPr>
      </w:pPr>
      <w:r>
        <w:rPr>
          <w:rFonts w:cs="Times New Roman" w:ascii="Times New Roman" w:hAnsi="Times New Roman"/>
          <w:sz w:val="28"/>
          <w:szCs w:val="28"/>
          <w:lang w:val="ru-RU"/>
        </w:rPr>
        <w:t>Испытанные варианты такого накопителя могут включать 100 слоёв, что увеличивает ёмкость накопителя более чем в 1000 раз при существенном увеличении уровня быстродействия.</w:t>
      </w:r>
    </w:p>
    <w:p>
      <w:pPr>
        <w:pStyle w:val="Normal"/>
        <w:jc w:val="both"/>
        <w:rPr>
          <w:sz w:val="28"/>
          <w:szCs w:val="28"/>
        </w:rPr>
      </w:pPr>
      <w:r>
        <w:rPr>
          <w:rFonts w:cs="Times New Roman" w:ascii="Times New Roman" w:hAnsi="Times New Roman"/>
          <w:sz w:val="28"/>
          <w:szCs w:val="28"/>
          <w:lang w:val="ru-RU"/>
        </w:rPr>
        <w:t>Этот фактор позволяет применять такого рода накопители информации с элементами искусственного интеллекта и искусственными нейронными сетями.</w:t>
      </w:r>
    </w:p>
    <w:p>
      <w:pPr>
        <w:pStyle w:val="Normal"/>
        <w:jc w:val="both"/>
        <w:rPr>
          <w:rFonts w:ascii="Times New Roman" w:hAnsi="Times New Roman" w:cs="Times New Roman"/>
          <w:sz w:val="24"/>
          <w:szCs w:val="24"/>
          <w:lang w:val="ru-RU"/>
        </w:rPr>
      </w:pPr>
      <w:r>
        <w:rPr>
          <w:rFonts w:cs="Times New Roman" w:ascii="Times New Roman" w:hAnsi="Times New Roman"/>
          <w:sz w:val="28"/>
          <w:szCs w:val="28"/>
          <w:lang w:val="ru-RU"/>
        </w:rPr>
        <w:t>Цифрами на рисунке обозначены:</w:t>
      </w:r>
    </w:p>
    <w:p>
      <w:pPr>
        <w:pStyle w:val="Normal"/>
        <w:jc w:val="both"/>
        <w:rPr>
          <w:rFonts w:ascii="Times New Roman" w:hAnsi="Times New Roman" w:cs="Times New Roman"/>
          <w:sz w:val="24"/>
          <w:szCs w:val="24"/>
          <w:lang w:val="ru-RU"/>
        </w:rPr>
      </w:pPr>
      <w:r>
        <w:rPr>
          <w:rFonts w:cs="Times New Roman" w:ascii="Times New Roman" w:hAnsi="Times New Roman"/>
          <w:sz w:val="28"/>
          <w:szCs w:val="28"/>
          <w:lang w:val="ru-RU"/>
        </w:rPr>
        <w:t xml:space="preserve">101 – дно основания многослойного накопителя информации. Дно должно быть достаточно прочным, что бы в случае формирования гибридного накопителя информации к нему можно было бы крепить жёсткий магнитный диск </w:t>
      </w:r>
    </w:p>
    <w:p>
      <w:pPr>
        <w:pStyle w:val="Normal"/>
        <w:jc w:val="both"/>
        <w:rPr>
          <w:rFonts w:ascii="Times New Roman" w:hAnsi="Times New Roman" w:cs="Times New Roman"/>
          <w:sz w:val="24"/>
          <w:szCs w:val="24"/>
          <w:lang w:val="ru-RU"/>
        </w:rPr>
      </w:pPr>
      <w:r>
        <w:rPr>
          <w:rFonts w:cs="Times New Roman" w:ascii="Times New Roman" w:hAnsi="Times New Roman"/>
          <w:sz w:val="28"/>
          <w:szCs w:val="28"/>
          <w:lang w:val="ru-RU"/>
        </w:rPr>
        <w:t>105 – центрирующее отверстие в дне - как правило диаметром – 15 миллиметров</w:t>
      </w:r>
    </w:p>
    <w:p>
      <w:pPr>
        <w:pStyle w:val="Normal"/>
        <w:jc w:val="both"/>
        <w:rPr>
          <w:rFonts w:ascii="Times New Roman" w:hAnsi="Times New Roman" w:cs="Times New Roman"/>
          <w:sz w:val="24"/>
          <w:szCs w:val="24"/>
          <w:lang w:val="ru-RU"/>
        </w:rPr>
      </w:pPr>
      <w:r>
        <w:rPr>
          <w:rFonts w:cs="Times New Roman" w:ascii="Times New Roman" w:hAnsi="Times New Roman"/>
          <w:sz w:val="28"/>
          <w:szCs w:val="28"/>
          <w:lang w:val="ru-RU"/>
        </w:rPr>
        <w:t>303 – верхний торец наружного контура основания многослойного накопителя информации</w:t>
      </w:r>
    </w:p>
    <w:p>
      <w:pPr>
        <w:pStyle w:val="Normal"/>
        <w:jc w:val="both"/>
        <w:rPr>
          <w:rFonts w:ascii="Times New Roman" w:hAnsi="Times New Roman" w:cs="Times New Roman"/>
          <w:sz w:val="24"/>
          <w:szCs w:val="24"/>
          <w:lang w:val="ru-RU"/>
        </w:rPr>
      </w:pPr>
      <w:r>
        <w:rPr>
          <w:rFonts w:cs="Times New Roman" w:ascii="Times New Roman" w:hAnsi="Times New Roman"/>
          <w:sz w:val="28"/>
          <w:szCs w:val="28"/>
          <w:lang w:val="ru-RU"/>
        </w:rPr>
        <w:t>401 – ориентирующая и центрирующая втулка основания многослойного накопителя информации</w:t>
      </w:r>
    </w:p>
    <w:p>
      <w:pPr>
        <w:pStyle w:val="Normal"/>
        <w:jc w:val="both"/>
        <w:rPr>
          <w:rFonts w:ascii="Times New Roman" w:hAnsi="Times New Roman" w:cs="Times New Roman"/>
          <w:sz w:val="24"/>
          <w:szCs w:val="24"/>
          <w:lang w:val="ru-RU"/>
        </w:rPr>
      </w:pPr>
      <w:r>
        <w:rPr>
          <w:rFonts w:cs="Times New Roman" w:ascii="Times New Roman" w:hAnsi="Times New Roman"/>
          <w:sz w:val="28"/>
          <w:szCs w:val="28"/>
          <w:lang w:val="ru-RU"/>
        </w:rPr>
        <w:t>501 – один слой многослойной структуры накопителя информации - толщина слоя после полимеризации и печати, в принципе составляет – 0.05 миллиметра</w:t>
      </w:r>
    </w:p>
    <w:p>
      <w:pPr>
        <w:pStyle w:val="Normal"/>
        <w:jc w:val="both"/>
        <w:rPr>
          <w:rFonts w:ascii="Times New Roman" w:hAnsi="Times New Roman" w:cs="Times New Roman"/>
          <w:sz w:val="24"/>
          <w:szCs w:val="24"/>
          <w:lang w:val="ru-RU"/>
        </w:rPr>
      </w:pPr>
      <w:r>
        <w:rPr>
          <w:rFonts w:cs="Times New Roman" w:ascii="Times New Roman" w:hAnsi="Times New Roman"/>
          <w:sz w:val="28"/>
          <w:szCs w:val="28"/>
          <w:lang w:val="ru-RU"/>
        </w:rPr>
        <w:t>502 – поверхность первого слоя многослойного накопителя информации на которой после полимеризации наносятся форматирующие метки и могут быть напрессованы контуры треков для информации</w:t>
      </w:r>
    </w:p>
    <w:p>
      <w:pPr>
        <w:pStyle w:val="Normal"/>
        <w:jc w:val="both"/>
        <w:rPr>
          <w:sz w:val="28"/>
          <w:szCs w:val="28"/>
        </w:rPr>
      </w:pPr>
      <w:r>
        <w:rPr>
          <w:rFonts w:cs="Times New Roman" w:ascii="Times New Roman" w:hAnsi="Times New Roman"/>
          <w:sz w:val="28"/>
          <w:szCs w:val="28"/>
          <w:lang w:val="ru-RU"/>
        </w:rPr>
        <w:t>Ввиду того, что все описанные элементы конструкции и принципа действия инновационных элементов и технических подсистем многослойного накопителя информации, эквивалентны применению композитных материалов, имеет смысл отметить и проанализировать элементы новизны указанных интегративных технических решений с учётом всех отмеченных принципиальных отличительных признаков.</w:t>
      </w:r>
    </w:p>
    <w:p>
      <w:pPr>
        <w:pStyle w:val="Normal"/>
        <w:jc w:val="both"/>
        <w:rPr>
          <w:sz w:val="28"/>
          <w:szCs w:val="28"/>
        </w:rPr>
      </w:pPr>
      <w:r>
        <w:rPr>
          <w:rFonts w:cs="Times New Roman" w:ascii="Times New Roman" w:hAnsi="Times New Roman"/>
          <w:sz w:val="28"/>
          <w:szCs w:val="28"/>
          <w:lang w:val="ru-RU"/>
        </w:rPr>
        <w:t>Рассмотрим пример интегративной технической системы.</w:t>
      </w:r>
    </w:p>
    <w:p>
      <w:pPr>
        <w:pStyle w:val="Normal"/>
        <w:jc w:val="both"/>
        <w:rPr>
          <w:sz w:val="28"/>
          <w:szCs w:val="28"/>
        </w:rPr>
      </w:pPr>
      <w:r>
        <w:rPr>
          <w:rFonts w:cs="Times New Roman" w:ascii="Times New Roman" w:hAnsi="Times New Roman"/>
          <w:b/>
          <w:sz w:val="28"/>
          <w:szCs w:val="28"/>
          <w:lang w:val="ru-RU"/>
        </w:rPr>
        <w:t>Многослойный оптический накопитель цифровой информации и метод его производства</w:t>
      </w:r>
    </w:p>
    <w:p>
      <w:pPr>
        <w:pStyle w:val="Normal"/>
        <w:jc w:val="both"/>
        <w:rPr>
          <w:sz w:val="28"/>
          <w:szCs w:val="28"/>
        </w:rPr>
      </w:pPr>
      <w:r>
        <w:rPr>
          <w:rFonts w:cs="Times New Roman" w:ascii="Times New Roman" w:hAnsi="Times New Roman"/>
          <w:sz w:val="28"/>
          <w:szCs w:val="28"/>
          <w:lang w:val="ru-RU"/>
        </w:rPr>
        <w:t>Дополнительные сведения для оценки целесообразности оформления предварительных патентных заявочных материалов, планирования изготовления и испытания опытных экспериментальных образцов, а также предварительного построения маршрута технологических переходов в предполагаемой – автоматической производственной линии по изготовлению в условиях массового производства указанных изделий, автор отмечает следующее:</w:t>
      </w:r>
    </w:p>
    <w:p>
      <w:pPr>
        <w:pStyle w:val="Normal"/>
        <w:jc w:val="both"/>
        <w:rPr>
          <w:sz w:val="28"/>
          <w:szCs w:val="28"/>
        </w:rPr>
      </w:pPr>
      <w:r>
        <w:rPr>
          <w:rFonts w:cs="Times New Roman" w:ascii="Times New Roman" w:hAnsi="Times New Roman"/>
          <w:sz w:val="28"/>
          <w:szCs w:val="28"/>
          <w:lang w:val="ru-RU"/>
        </w:rPr>
        <w:t>- для начала, необходимо квалифицировать степень технологической и конструктивной принципиальной новизны предлагаемого технического решения.</w:t>
      </w:r>
    </w:p>
    <w:p>
      <w:pPr>
        <w:pStyle w:val="Normal"/>
        <w:jc w:val="both"/>
        <w:rPr>
          <w:sz w:val="28"/>
          <w:szCs w:val="28"/>
        </w:rPr>
      </w:pPr>
      <w:r>
        <w:rPr>
          <w:rFonts w:cs="Times New Roman" w:ascii="Times New Roman" w:hAnsi="Times New Roman"/>
          <w:sz w:val="28"/>
          <w:szCs w:val="28"/>
          <w:lang w:val="ru-RU"/>
        </w:rPr>
        <w:t>- поскольку имеется несколько моделей указанного накопителя, построенных на однотипном базовом принципе, есть смысл для лучшего представления об степени реальности предлагаемого технического решения, рассмотреть первичные версии основных пунктов формулы изобретения по каждой из моделей.</w:t>
      </w:r>
    </w:p>
    <w:p>
      <w:pPr>
        <w:pStyle w:val="Normal"/>
        <w:jc w:val="both"/>
        <w:rPr>
          <w:rFonts w:ascii="Times New Roman" w:hAnsi="Times New Roman" w:cs="Times New Roman"/>
          <w:b/>
          <w:b/>
          <w:lang w:val="ru-RU"/>
        </w:rPr>
      </w:pPr>
      <w:r>
        <w:rPr>
          <w:rFonts w:cs="Times New Roman" w:ascii="Times New Roman" w:hAnsi="Times New Roman"/>
          <w:b/>
          <w:lang w:val="ru-RU"/>
        </w:rPr>
      </w:r>
      <w:r>
        <w:br w:type="page"/>
      </w:r>
    </w:p>
    <w:p>
      <w:pPr>
        <w:pStyle w:val="Normal"/>
        <w:jc w:val="both"/>
        <w:rPr>
          <w:sz w:val="28"/>
          <w:szCs w:val="28"/>
        </w:rPr>
      </w:pPr>
      <w:r>
        <w:rPr>
          <w:rFonts w:cs="Times New Roman" w:ascii="Times New Roman" w:hAnsi="Times New Roman"/>
          <w:b/>
          <w:sz w:val="28"/>
          <w:szCs w:val="28"/>
          <w:lang w:val="ru-RU"/>
        </w:rPr>
        <w:t>Вариант реализации - многослойный оптический диск, построенный на базовом металлическом каркасе</w:t>
      </w:r>
    </w:p>
    <w:p>
      <w:pPr>
        <w:pStyle w:val="Normal"/>
        <w:spacing w:lineRule="auto" w:line="240" w:before="0" w:after="0"/>
        <w:jc w:val="both"/>
        <w:rPr>
          <w:rFonts w:ascii="Times New Roman" w:hAnsi="Times New Roman" w:cs="Times New Roman"/>
          <w:b/>
          <w:b/>
          <w:lang w:val="ru-RU"/>
        </w:rPr>
      </w:pPr>
      <w:r>
        <w:rPr>
          <w:rFonts w:cs="Times New Roman" w:ascii="Times New Roman" w:hAnsi="Times New Roman"/>
          <w:b/>
          <w:lang w:val="ru-RU"/>
        </w:rPr>
      </w:r>
    </w:p>
    <w:p>
      <w:pPr>
        <w:pStyle w:val="Normal"/>
        <w:jc w:val="both"/>
        <w:rPr>
          <w:sz w:val="28"/>
          <w:szCs w:val="28"/>
        </w:rPr>
      </w:pPr>
      <w:r>
        <w:rPr>
          <w:rFonts w:cs="Times New Roman" w:ascii="Times New Roman" w:hAnsi="Times New Roman"/>
          <w:sz w:val="28"/>
          <w:szCs w:val="28"/>
          <w:lang w:val="ru-RU"/>
        </w:rPr>
        <w:t>Многослойный оптический накопитель цифровой информации, преимущественно на базе двух - фотонного хромофора ( полимерного материала, обладающего повышенной чувствительностью к световому излучению ), имеющий свойства, характеристики и возможности для оптической записи и чтения под воздействием концентрированного, послойно сфокусированного, энергетически насыщенного и подверженного комплексному программному управлению - светового луча - контролируемого и управляемого в связи с элементами искусственного интеллекта и искусственных нейронных сетей, включающий:</w:t>
      </w:r>
    </w:p>
    <w:p>
      <w:pPr>
        <w:pStyle w:val="Normal"/>
        <w:jc w:val="both"/>
        <w:rPr>
          <w:sz w:val="28"/>
          <w:szCs w:val="28"/>
        </w:rPr>
      </w:pPr>
      <w:r>
        <w:rPr>
          <w:rFonts w:cs="Times New Roman" w:ascii="Times New Roman" w:hAnsi="Times New Roman"/>
          <w:sz w:val="28"/>
          <w:szCs w:val="28"/>
          <w:lang w:val="ru-RU"/>
        </w:rPr>
        <w:t>- полый, формообразующий, ориентирующий и упрочняющий каркас;</w:t>
      </w:r>
    </w:p>
    <w:p>
      <w:pPr>
        <w:pStyle w:val="Normal"/>
        <w:jc w:val="both"/>
        <w:rPr>
          <w:sz w:val="28"/>
          <w:szCs w:val="28"/>
        </w:rPr>
      </w:pPr>
      <w:r>
        <w:rPr>
          <w:rFonts w:cs="Times New Roman" w:ascii="Times New Roman" w:hAnsi="Times New Roman"/>
          <w:sz w:val="28"/>
          <w:szCs w:val="28"/>
          <w:lang w:val="ru-RU"/>
        </w:rPr>
        <w:t>- последовательно выращенные в рабочих кольцевых полостях каркаса, системно чередующиеся слои из оптически прозрачного полимерного материала, и, расположенные между ними, слои из чувствительного к свету полимерного материала;</w:t>
      </w:r>
    </w:p>
    <w:p>
      <w:pPr>
        <w:pStyle w:val="Normal"/>
        <w:jc w:val="both"/>
        <w:rPr>
          <w:sz w:val="28"/>
          <w:szCs w:val="28"/>
        </w:rPr>
      </w:pPr>
      <w:r>
        <w:rPr>
          <w:rFonts w:cs="Times New Roman" w:ascii="Times New Roman" w:hAnsi="Times New Roman"/>
          <w:sz w:val="28"/>
          <w:szCs w:val="28"/>
          <w:lang w:val="ru-RU"/>
        </w:rPr>
        <w:t>- нанесённые на верхней, по отношению к дну каркаса, стороне каждого из слоёв из оптически прозрачного полимерного материала</w:t>
      </w:r>
      <w:r>
        <w:rPr>
          <w:rFonts w:cs="Times New Roman" w:ascii="Times New Roman" w:hAnsi="Times New Roman"/>
          <w:b w:val="false"/>
          <w:bCs w:val="false"/>
          <w:sz w:val="28"/>
          <w:szCs w:val="28"/>
          <w:lang w:val="ru-RU"/>
        </w:rPr>
        <w:t xml:space="preserve">, маркирующие символы определённой конфигурации, топологии и микрорельефа, с введёнными в его микро - полости </w:t>
      </w:r>
      <w:r>
        <w:rPr>
          <w:rFonts w:cs="Times New Roman" w:ascii="Times New Roman" w:hAnsi="Times New Roman"/>
          <w:sz w:val="28"/>
          <w:szCs w:val="28"/>
          <w:lang w:val="ru-RU"/>
        </w:rPr>
        <w:t>частицами чувствительного к свету полимерного материала последующего слоя;</w:t>
      </w:r>
    </w:p>
    <w:p>
      <w:pPr>
        <w:pStyle w:val="Normal"/>
        <w:jc w:val="both"/>
        <w:rPr>
          <w:sz w:val="28"/>
          <w:szCs w:val="28"/>
        </w:rPr>
      </w:pPr>
      <w:r>
        <w:rPr>
          <w:rFonts w:cs="Times New Roman" w:ascii="Times New Roman" w:hAnsi="Times New Roman"/>
          <w:sz w:val="28"/>
          <w:szCs w:val="28"/>
          <w:lang w:val="ru-RU"/>
        </w:rPr>
        <w:t>- пограничный слой, на переходе между каждым из предыдущих слоёв к последующему, возникший при растворении полимера предыдущего слоя мономером последующего слоя;</w:t>
      </w:r>
    </w:p>
    <w:p>
      <w:pPr>
        <w:pStyle w:val="Normal"/>
        <w:jc w:val="both"/>
        <w:rPr>
          <w:sz w:val="28"/>
          <w:szCs w:val="28"/>
        </w:rPr>
      </w:pPr>
      <w:r>
        <w:rPr>
          <w:rFonts w:cs="Times New Roman" w:ascii="Times New Roman" w:hAnsi="Times New Roman"/>
          <w:sz w:val="28"/>
          <w:szCs w:val="28"/>
          <w:lang w:val="ru-RU"/>
        </w:rPr>
        <w:t>- информационные накопительные слои, последовательно записанные на слоях из чувствительного к свету полимерного материала, перед выращиванием последующих слоёв из оптически прозрачного полимерного материала, причём в процессе записи и чтения информационные оптические символы являются производными от маркирующих символов каждого из предыдущих слоёв оптически прозрачного полимерного материала.</w:t>
      </w:r>
    </w:p>
    <w:p>
      <w:pPr>
        <w:pStyle w:val="Normal"/>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jc w:val="both"/>
        <w:rPr>
          <w:rFonts w:ascii="Times New Roman" w:hAnsi="Times New Roman" w:cs="Times New Roman"/>
          <w:sz w:val="24"/>
          <w:szCs w:val="24"/>
          <w:lang w:val="ru-RU"/>
        </w:rPr>
      </w:pPr>
      <w:r>
        <w:rPr>
          <w:rFonts w:cs="Times New Roman" w:ascii="Times New Roman" w:hAnsi="Times New Roman"/>
          <w:sz w:val="28"/>
          <w:szCs w:val="28"/>
          <w:lang w:val="ru-RU"/>
        </w:rPr>
        <w:t>Базовый металлический каркас предполагается изготавливать из алюминия, методом ударного обратного выдавливания, с доведением материала до состояния текучести и последующим предварительным напряжением, для сохранения правильных геометрических форм, при минимальной толщине стенок каркаса и при минимальном весе ( массе ) указанного каркаса.</w:t>
      </w:r>
    </w:p>
    <w:p>
      <w:pPr>
        <w:pStyle w:val="Normal"/>
        <w:jc w:val="both"/>
        <w:rPr>
          <w:sz w:val="28"/>
          <w:szCs w:val="28"/>
        </w:rPr>
      </w:pPr>
      <w:r>
        <w:rPr>
          <w:rFonts w:cs="Times New Roman" w:ascii="Times New Roman" w:hAnsi="Times New Roman"/>
          <w:sz w:val="28"/>
          <w:szCs w:val="28"/>
          <w:lang w:val="ru-RU"/>
        </w:rPr>
        <w:t>Предполагается, что толщина стенок каркаса будет в пределах 0,05 миллиметра; высота стенок - 1,2 миллиметра. Наружный диаметр каркаса будет - 120 миллиметров, в центре - посадочное отверстие диаметром в 15 миллиметров.</w:t>
      </w:r>
    </w:p>
    <w:p>
      <w:pPr>
        <w:pStyle w:val="Normal"/>
        <w:jc w:val="both"/>
        <w:rPr>
          <w:rFonts w:ascii="Times New Roman" w:hAnsi="Times New Roman" w:cs="Times New Roman"/>
          <w:sz w:val="24"/>
          <w:szCs w:val="24"/>
          <w:lang w:val="ru-RU"/>
        </w:rPr>
      </w:pPr>
      <w:r>
        <w:rPr>
          <w:rFonts w:cs="Times New Roman" w:ascii="Times New Roman" w:hAnsi="Times New Roman"/>
          <w:sz w:val="28"/>
          <w:szCs w:val="28"/>
          <w:lang w:val="ru-RU"/>
        </w:rPr>
        <w:t xml:space="preserve">Концентрично посадочному отверстию должна быть кольцевая полость с наружным диаметром в 44-45 миллиметров. Она может быть заполненной полимером, или может быть незаполненной. </w:t>
      </w:r>
    </w:p>
    <w:p>
      <w:pPr>
        <w:pStyle w:val="Normal"/>
        <w:jc w:val="both"/>
        <w:rPr>
          <w:rFonts w:ascii="Times New Roman" w:hAnsi="Times New Roman" w:cs="Times New Roman"/>
          <w:sz w:val="24"/>
          <w:szCs w:val="24"/>
          <w:lang w:val="ru-RU"/>
        </w:rPr>
      </w:pPr>
      <w:r>
        <w:rPr>
          <w:rFonts w:cs="Times New Roman" w:ascii="Times New Roman" w:hAnsi="Times New Roman"/>
          <w:sz w:val="28"/>
          <w:szCs w:val="28"/>
          <w:lang w:val="ru-RU"/>
        </w:rPr>
        <w:t>Указанный каркас должен иметь очень точные размеры, которые обеспечиваются точностью штампа для ударного выдавливания.</w:t>
      </w:r>
    </w:p>
    <w:p>
      <w:pPr>
        <w:pStyle w:val="Normal"/>
        <w:jc w:val="both"/>
        <w:rPr>
          <w:sz w:val="28"/>
          <w:szCs w:val="28"/>
        </w:rPr>
      </w:pPr>
      <w:r>
        <w:rPr>
          <w:rFonts w:cs="Times New Roman" w:ascii="Times New Roman" w:hAnsi="Times New Roman"/>
          <w:sz w:val="28"/>
          <w:szCs w:val="28"/>
          <w:lang w:val="ru-RU"/>
        </w:rPr>
        <w:t xml:space="preserve">Можно предположить, что изготовление такого каркаса не встретит каких либо затруднений, поскольку технология ударного выдавливания алюминия хорошо отработана и технологическая оснастка не является дорогостоящей. </w:t>
      </w:r>
    </w:p>
    <w:p>
      <w:pPr>
        <w:pStyle w:val="Normal"/>
        <w:jc w:val="both"/>
        <w:rPr>
          <w:sz w:val="28"/>
          <w:szCs w:val="28"/>
        </w:rPr>
      </w:pPr>
      <w:r>
        <w:rPr>
          <w:rFonts w:cs="Times New Roman" w:ascii="Times New Roman" w:hAnsi="Times New Roman"/>
          <w:sz w:val="28"/>
          <w:szCs w:val="28"/>
          <w:lang w:val="ru-RU"/>
        </w:rPr>
        <w:t xml:space="preserve">На основании каркаса предполагается выполнить покрытие из алмазной порошковой композиции, толщиной в 10-15 микрометров. </w:t>
      </w:r>
    </w:p>
    <w:p>
      <w:pPr>
        <w:pStyle w:val="Normal"/>
        <w:jc w:val="both"/>
        <w:rPr>
          <w:rFonts w:ascii="Times New Roman" w:hAnsi="Times New Roman" w:cs="Times New Roman"/>
          <w:sz w:val="24"/>
          <w:szCs w:val="24"/>
          <w:lang w:val="ru-RU"/>
        </w:rPr>
      </w:pPr>
      <w:r>
        <w:rPr>
          <w:rFonts w:cs="Times New Roman" w:ascii="Times New Roman" w:hAnsi="Times New Roman"/>
          <w:sz w:val="28"/>
          <w:szCs w:val="28"/>
          <w:lang w:val="ru-RU"/>
        </w:rPr>
        <w:t>Такое покрытие обеспечивает:</w:t>
      </w:r>
    </w:p>
    <w:p>
      <w:pPr>
        <w:pStyle w:val="Normal"/>
        <w:jc w:val="both"/>
        <w:rPr>
          <w:sz w:val="28"/>
          <w:szCs w:val="28"/>
        </w:rPr>
      </w:pPr>
      <w:r>
        <w:rPr>
          <w:rFonts w:cs="Times New Roman" w:ascii="Times New Roman" w:hAnsi="Times New Roman"/>
          <w:sz w:val="28"/>
          <w:szCs w:val="28"/>
          <w:lang w:val="ru-RU"/>
        </w:rPr>
        <w:t>- высокую степень электрической изоляции;</w:t>
      </w:r>
    </w:p>
    <w:p>
      <w:pPr>
        <w:pStyle w:val="Normal"/>
        <w:jc w:val="both"/>
        <w:rPr>
          <w:rFonts w:ascii="Times New Roman" w:hAnsi="Times New Roman" w:cs="Times New Roman"/>
          <w:sz w:val="24"/>
          <w:szCs w:val="24"/>
          <w:lang w:val="ru-RU"/>
        </w:rPr>
      </w:pPr>
      <w:r>
        <w:rPr>
          <w:rFonts w:cs="Times New Roman" w:ascii="Times New Roman" w:hAnsi="Times New Roman"/>
          <w:sz w:val="28"/>
          <w:szCs w:val="28"/>
          <w:lang w:val="ru-RU"/>
        </w:rPr>
        <w:t>- высокую степень теплопроводности.</w:t>
      </w:r>
    </w:p>
    <w:p>
      <w:pPr>
        <w:pStyle w:val="Normal"/>
        <w:jc w:val="both"/>
        <w:rPr>
          <w:rFonts w:ascii="Times New Roman" w:hAnsi="Times New Roman" w:cs="Times New Roman"/>
          <w:sz w:val="24"/>
          <w:szCs w:val="24"/>
          <w:lang w:val="ru-RU"/>
        </w:rPr>
      </w:pPr>
      <w:r>
        <w:rPr>
          <w:rFonts w:cs="Times New Roman" w:ascii="Times New Roman" w:hAnsi="Times New Roman"/>
          <w:sz w:val="28"/>
          <w:szCs w:val="28"/>
          <w:lang w:val="ru-RU"/>
        </w:rPr>
        <w:t>- большую скорость рассеивания тепла.</w:t>
      </w:r>
    </w:p>
    <w:p>
      <w:pPr>
        <w:pStyle w:val="Normal"/>
        <w:jc w:val="both"/>
        <w:rPr>
          <w:rFonts w:ascii="Times New Roman" w:hAnsi="Times New Roman" w:cs="Times New Roman"/>
          <w:sz w:val="24"/>
          <w:szCs w:val="24"/>
          <w:lang w:val="ru-RU"/>
        </w:rPr>
      </w:pPr>
      <w:r>
        <w:rPr>
          <w:rFonts w:cs="Times New Roman" w:ascii="Times New Roman" w:hAnsi="Times New Roman"/>
          <w:sz w:val="28"/>
          <w:szCs w:val="28"/>
          <w:lang w:val="ru-RU"/>
        </w:rPr>
        <w:t>- гарантию нейтрализации статического электричества.</w:t>
      </w:r>
    </w:p>
    <w:p>
      <w:pPr>
        <w:pStyle w:val="Normal"/>
        <w:jc w:val="both"/>
        <w:rPr>
          <w:rFonts w:ascii="Times New Roman" w:hAnsi="Times New Roman" w:cs="Times New Roman"/>
          <w:sz w:val="24"/>
          <w:szCs w:val="24"/>
          <w:lang w:val="ru-RU"/>
        </w:rPr>
      </w:pPr>
      <w:r>
        <w:rPr>
          <w:rFonts w:cs="Times New Roman" w:ascii="Times New Roman" w:hAnsi="Times New Roman"/>
          <w:sz w:val="28"/>
          <w:szCs w:val="28"/>
          <w:lang w:val="ru-RU"/>
        </w:rPr>
        <w:t>- сохранность поверхности от царапин и других механических повреждений.</w:t>
      </w:r>
    </w:p>
    <w:p>
      <w:pPr>
        <w:pStyle w:val="Normal"/>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jc w:val="both"/>
        <w:rPr>
          <w:rFonts w:ascii="Times New Roman" w:hAnsi="Times New Roman" w:cs="Times New Roman"/>
          <w:sz w:val="24"/>
          <w:szCs w:val="24"/>
          <w:lang w:val="ru-RU"/>
        </w:rPr>
      </w:pPr>
      <w:r>
        <w:rPr>
          <w:rFonts w:cs="Times New Roman" w:ascii="Times New Roman" w:hAnsi="Times New Roman"/>
          <w:sz w:val="28"/>
          <w:szCs w:val="28"/>
          <w:lang w:val="ru-RU"/>
        </w:rPr>
        <w:t xml:space="preserve">Вместо алюминиевого каркаса, может быть использован его полимерный эквивалент. </w:t>
      </w:r>
    </w:p>
    <w:p>
      <w:pPr>
        <w:pStyle w:val="Normal"/>
        <w:jc w:val="both"/>
        <w:rPr>
          <w:rFonts w:ascii="Times New Roman" w:hAnsi="Times New Roman" w:cs="Times New Roman"/>
          <w:sz w:val="24"/>
          <w:szCs w:val="24"/>
          <w:lang w:val="ru-RU"/>
        </w:rPr>
      </w:pPr>
      <w:r>
        <w:rPr>
          <w:rFonts w:cs="Times New Roman" w:ascii="Times New Roman" w:hAnsi="Times New Roman"/>
          <w:sz w:val="28"/>
          <w:szCs w:val="28"/>
          <w:lang w:val="ru-RU"/>
        </w:rPr>
        <w:t>В обеих случаях эта часть диска не должна вызвать проблем при изготовлении, а наоборот, может служить базовым гарантом получения более высокой точности при последующем выращивании вертикальной иерархии рабочего объёма диска.</w:t>
      </w:r>
    </w:p>
    <w:p>
      <w:pPr>
        <w:pStyle w:val="Normal"/>
        <w:jc w:val="both"/>
        <w:rPr>
          <w:rFonts w:ascii="Times New Roman" w:hAnsi="Times New Roman" w:cs="Times New Roman"/>
          <w:sz w:val="24"/>
          <w:szCs w:val="24"/>
          <w:lang w:val="ru-RU"/>
        </w:rPr>
      </w:pPr>
      <w:r>
        <w:rPr>
          <w:rFonts w:cs="Times New Roman" w:ascii="Times New Roman" w:hAnsi="Times New Roman"/>
          <w:sz w:val="28"/>
          <w:szCs w:val="28"/>
          <w:lang w:val="ru-RU"/>
        </w:rPr>
        <w:t>Методика контроля основных геометрических и размерных параметров и соотношений для этой части диска, сводится к одноразовому контролю технологической оснастки и периодическому контролю её степени износа.</w:t>
      </w:r>
    </w:p>
    <w:p>
      <w:pPr>
        <w:pStyle w:val="Normal"/>
        <w:numPr>
          <w:ilvl w:val="0"/>
          <w:numId w:val="0"/>
        </w:numPr>
        <w:jc w:val="both"/>
        <w:outlineLvl w:val="0"/>
        <w:rPr>
          <w:rFonts w:ascii="Times New Roman" w:hAnsi="Times New Roman" w:cs="Times New Roman"/>
          <w:lang w:val="ru-RU"/>
        </w:rPr>
      </w:pPr>
      <w:r>
        <w:rPr>
          <w:rFonts w:cs="Times New Roman" w:ascii="Times New Roman" w:hAnsi="Times New Roman"/>
          <w:lang w:val="ru-RU"/>
        </w:rPr>
      </w:r>
    </w:p>
    <w:p>
      <w:pPr>
        <w:pStyle w:val="Normal"/>
        <w:numPr>
          <w:ilvl w:val="0"/>
          <w:numId w:val="0"/>
        </w:numPr>
        <w:jc w:val="both"/>
        <w:outlineLvl w:val="0"/>
        <w:rPr>
          <w:sz w:val="28"/>
          <w:szCs w:val="28"/>
        </w:rPr>
      </w:pPr>
      <w:r>
        <w:rPr>
          <w:rFonts w:cs="Times New Roman" w:ascii="Times New Roman" w:hAnsi="Times New Roman"/>
          <w:sz w:val="28"/>
          <w:szCs w:val="28"/>
          <w:lang w:val="ru-RU"/>
        </w:rPr>
        <w:t>ВЫРАЩИВАНИЕ СЛОИСТОЙ СТРУКТУРЫ ВЕРТИКАЛЬНОЙ ИЕРАРХИИ ДИСКА</w:t>
      </w:r>
    </w:p>
    <w:p>
      <w:pPr>
        <w:pStyle w:val="Normal"/>
        <w:jc w:val="both"/>
        <w:rPr>
          <w:rFonts w:ascii="Times New Roman" w:hAnsi="Times New Roman" w:cs="Times New Roman"/>
          <w:sz w:val="24"/>
          <w:szCs w:val="24"/>
          <w:lang w:val="ru-RU"/>
        </w:rPr>
      </w:pPr>
      <w:r>
        <w:rPr>
          <w:rFonts w:cs="Times New Roman" w:ascii="Times New Roman" w:hAnsi="Times New Roman"/>
          <w:sz w:val="28"/>
          <w:szCs w:val="28"/>
          <w:lang w:val="ru-RU"/>
        </w:rPr>
        <w:t>Для процесса используют в качестве исходного материала- мономеры полимерных композиций, которые:</w:t>
      </w:r>
    </w:p>
    <w:p>
      <w:pPr>
        <w:pStyle w:val="Normal"/>
        <w:jc w:val="both"/>
        <w:rPr>
          <w:rFonts w:ascii="Times New Roman" w:hAnsi="Times New Roman" w:cs="Times New Roman"/>
          <w:sz w:val="24"/>
          <w:szCs w:val="24"/>
          <w:lang w:val="ru-RU"/>
        </w:rPr>
      </w:pPr>
      <w:r>
        <w:rPr>
          <w:rFonts w:cs="Times New Roman" w:ascii="Times New Roman" w:hAnsi="Times New Roman"/>
          <w:sz w:val="28"/>
          <w:szCs w:val="28"/>
          <w:lang w:val="ru-RU"/>
        </w:rPr>
        <w:t>- проходят процесс полимеризации при воздействии какого либо терморадиационного излучения;</w:t>
      </w:r>
    </w:p>
    <w:p>
      <w:pPr>
        <w:pStyle w:val="Normal"/>
        <w:jc w:val="both"/>
        <w:rPr>
          <w:rFonts w:ascii="Times New Roman" w:hAnsi="Times New Roman" w:cs="Times New Roman"/>
          <w:sz w:val="24"/>
          <w:szCs w:val="24"/>
          <w:lang w:val="ru-RU"/>
        </w:rPr>
      </w:pPr>
      <w:r>
        <w:rPr>
          <w:rFonts w:cs="Times New Roman" w:ascii="Times New Roman" w:hAnsi="Times New Roman"/>
          <w:sz w:val="28"/>
          <w:szCs w:val="28"/>
          <w:lang w:val="ru-RU"/>
        </w:rPr>
        <w:t>- в процессе полимеризации не требуют длительного периода времени на полимеризацию и отверждение слоя;</w:t>
      </w:r>
    </w:p>
    <w:p>
      <w:pPr>
        <w:pStyle w:val="Normal"/>
        <w:jc w:val="both"/>
        <w:rPr>
          <w:rFonts w:ascii="Times New Roman" w:hAnsi="Times New Roman" w:cs="Times New Roman"/>
          <w:sz w:val="24"/>
          <w:szCs w:val="24"/>
          <w:lang w:val="ru-RU"/>
        </w:rPr>
      </w:pPr>
      <w:r>
        <w:rPr>
          <w:rFonts w:cs="Times New Roman" w:ascii="Times New Roman" w:hAnsi="Times New Roman"/>
          <w:sz w:val="28"/>
          <w:szCs w:val="28"/>
          <w:lang w:val="ru-RU"/>
        </w:rPr>
        <w:t>- имеют вязкость, позволяющую распылять их при помощи дозирующих форсунок.</w:t>
      </w:r>
    </w:p>
    <w:p>
      <w:pPr>
        <w:pStyle w:val="Normal"/>
        <w:jc w:val="both"/>
        <w:rPr>
          <w:rFonts w:ascii="Times New Roman" w:hAnsi="Times New Roman" w:cs="Times New Roman"/>
          <w:sz w:val="24"/>
          <w:szCs w:val="24"/>
          <w:lang w:val="ru-RU"/>
        </w:rPr>
      </w:pPr>
      <w:r>
        <w:rPr>
          <w:rFonts w:cs="Times New Roman" w:ascii="Times New Roman" w:hAnsi="Times New Roman"/>
          <w:sz w:val="28"/>
          <w:szCs w:val="28"/>
          <w:lang w:val="ru-RU"/>
        </w:rPr>
        <w:t>- имеют коэффициент поверхностного натяжения, позволяющий удерживать плёнку указанного мономера на поверхности слоя, при толщине плёнки 2-5 микрометров.</w:t>
      </w:r>
    </w:p>
    <w:p>
      <w:pPr>
        <w:pStyle w:val="Normal"/>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jc w:val="both"/>
        <w:rPr>
          <w:rFonts w:ascii="Times New Roman" w:hAnsi="Times New Roman" w:cs="Times New Roman"/>
          <w:sz w:val="24"/>
          <w:szCs w:val="24"/>
          <w:lang w:val="ru-RU"/>
        </w:rPr>
      </w:pPr>
      <w:r>
        <w:rPr>
          <w:rFonts w:cs="Times New Roman" w:ascii="Times New Roman" w:hAnsi="Times New Roman"/>
          <w:sz w:val="28"/>
          <w:szCs w:val="28"/>
          <w:lang w:val="ru-RU"/>
        </w:rPr>
        <w:t xml:space="preserve">Указанный мономер материала, чувствительного к световому излучению, является растворителем для прозрачного оптического полимерного материала, из которого изготавливаются слои, пограничные для слоя из материала, чувствительного для светового излучения. </w:t>
      </w:r>
    </w:p>
    <w:p>
      <w:pPr>
        <w:pStyle w:val="Normal"/>
        <w:jc w:val="both"/>
        <w:rPr>
          <w:rFonts w:ascii="Times New Roman" w:hAnsi="Times New Roman" w:cs="Times New Roman"/>
          <w:sz w:val="24"/>
          <w:szCs w:val="24"/>
          <w:lang w:val="ru-RU"/>
        </w:rPr>
      </w:pPr>
      <w:r>
        <w:rPr>
          <w:rFonts w:cs="Times New Roman" w:ascii="Times New Roman" w:hAnsi="Times New Roman"/>
          <w:sz w:val="28"/>
          <w:szCs w:val="28"/>
          <w:lang w:val="ru-RU"/>
        </w:rPr>
        <w:t>Указанные пограничные слои по толщине должны быть толще, чем слой из материала чувствительного к световому излучению, на величину, обеспечивающую минимальную величину оптического искажения лучей от источника светового излучения.</w:t>
      </w:r>
    </w:p>
    <w:p>
      <w:pPr>
        <w:pStyle w:val="Normal"/>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jc w:val="both"/>
        <w:rPr>
          <w:rFonts w:ascii="Times New Roman" w:hAnsi="Times New Roman" w:cs="Times New Roman"/>
          <w:b/>
          <w:b/>
          <w:sz w:val="28"/>
          <w:szCs w:val="28"/>
          <w:lang w:val="ru-RU"/>
        </w:rPr>
      </w:pPr>
      <w:r>
        <w:rPr>
          <w:rFonts w:cs="Times New Roman" w:ascii="Times New Roman" w:hAnsi="Times New Roman"/>
          <w:b/>
          <w:sz w:val="28"/>
          <w:szCs w:val="28"/>
          <w:lang w:val="ru-RU"/>
        </w:rPr>
      </w:r>
    </w:p>
    <w:p>
      <w:pPr>
        <w:pStyle w:val="Normal"/>
        <w:jc w:val="both"/>
        <w:rPr>
          <w:rFonts w:ascii="Times New Roman" w:hAnsi="Times New Roman" w:cs="Times New Roman"/>
          <w:b/>
          <w:b/>
          <w:sz w:val="28"/>
          <w:szCs w:val="28"/>
          <w:lang w:val="ru-RU"/>
        </w:rPr>
      </w:pPr>
      <w:r>
        <w:rPr>
          <w:rFonts w:cs="Times New Roman" w:ascii="Times New Roman" w:hAnsi="Times New Roman"/>
          <w:b/>
          <w:sz w:val="28"/>
          <w:szCs w:val="28"/>
          <w:lang w:val="ru-RU"/>
        </w:rPr>
      </w:r>
    </w:p>
    <w:p>
      <w:pPr>
        <w:pStyle w:val="Normal"/>
        <w:jc w:val="left"/>
        <w:rPr>
          <w:rFonts w:ascii="Times New Roman" w:hAnsi="Times New Roman" w:cs="Times New Roman"/>
          <w:b/>
          <w:b/>
          <w:sz w:val="28"/>
          <w:szCs w:val="28"/>
          <w:lang w:val="ru-RU"/>
        </w:rPr>
      </w:pPr>
      <w:r>
        <w:rPr/>
      </w:r>
      <w:r>
        <w:br w:type="page"/>
      </w:r>
    </w:p>
    <w:p>
      <w:pPr>
        <w:pStyle w:val="Normal"/>
        <w:jc w:val="left"/>
        <w:rPr/>
      </w:pPr>
      <w:bookmarkStart w:id="1" w:name="_GoBack"/>
      <w:bookmarkEnd w:id="1"/>
      <w:r>
        <w:rPr>
          <w:rFonts w:cs="Times New Roman" w:ascii="Times New Roman" w:hAnsi="Times New Roman"/>
          <w:b/>
          <w:sz w:val="28"/>
          <w:szCs w:val="28"/>
          <w:lang w:val="ru-RU"/>
        </w:rPr>
        <w:t>СПИСОК ИСПОЛЬЗОВАННОЙ ЛИТЕРАТУРЫ, ПАТЕНТНЫХ И ЛИЦЕНЗИОННЫХ МАТЕРИАЛОВ</w:t>
      </w:r>
    </w:p>
    <w:p>
      <w:pPr>
        <w:pStyle w:val="Normal"/>
        <w:jc w:val="both"/>
        <w:rPr>
          <w:rFonts w:ascii="Times New Roman" w:hAnsi="Times New Roman" w:cs="Times New Roman"/>
          <w:b/>
          <w:b/>
          <w:sz w:val="24"/>
          <w:szCs w:val="24"/>
          <w:lang w:val="ru-RU"/>
        </w:rPr>
      </w:pPr>
      <w:r>
        <w:rPr>
          <w:rFonts w:cs="Times New Roman" w:ascii="Times New Roman" w:hAnsi="Times New Roman"/>
          <w:b/>
          <w:sz w:val="28"/>
          <w:szCs w:val="28"/>
          <w:lang w:val="ru-RU"/>
        </w:rPr>
        <w:t>ПРИЛОЖЕНИЕ 1</w:t>
      </w:r>
    </w:p>
    <w:tbl>
      <w:tblPr>
        <w:tblW w:w="5000" w:type="pct"/>
        <w:jc w:val="left"/>
        <w:tblInd w:w="0" w:type="dxa"/>
        <w:tblCellMar>
          <w:top w:w="15" w:type="dxa"/>
          <w:left w:w="15" w:type="dxa"/>
          <w:bottom w:w="15" w:type="dxa"/>
          <w:right w:w="15" w:type="dxa"/>
        </w:tblCellMar>
        <w:tblLook w:val="04a0" w:noVBand="1" w:noHBand="0" w:lastColumn="0" w:firstColumn="1" w:lastRow="0" w:firstRow="1"/>
      </w:tblPr>
      <w:tblGrid>
        <w:gridCol w:w="4679"/>
        <w:gridCol w:w="4680"/>
      </w:tblGrid>
      <w:tr>
        <w:trPr/>
        <w:tc>
          <w:tcPr>
            <w:tcW w:w="4679"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United States Patent Application</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 xml:space="preserve">20020064194 </w:t>
            </w:r>
          </w:p>
        </w:tc>
      </w:tr>
      <w:tr>
        <w:trPr/>
        <w:tc>
          <w:tcPr>
            <w:tcW w:w="4679" w:type="dxa"/>
            <w:tcBorders/>
            <w:shd w:fill="auto" w:val="clea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Kind Code</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 xml:space="preserve">A1 </w:t>
            </w:r>
          </w:p>
        </w:tc>
      </w:tr>
      <w:tr>
        <w:trPr/>
        <w:tc>
          <w:tcPr>
            <w:tcW w:w="4679"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 xml:space="preserve">Nagamatsu, Shinya </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 xml:space="preserve">May 30, 2002 </w:t>
            </w:r>
          </w:p>
        </w:tc>
      </w:tr>
    </w:tbl>
    <w:p>
      <w:pPr>
        <w:pStyle w:val="Normal"/>
        <w:spacing w:lineRule="auto" w:line="240" w:before="0" w:after="0"/>
        <w:jc w:val="both"/>
        <w:rPr>
          <w:rFonts w:ascii="Times New Roman" w:hAnsi="Times New Roman" w:eastAsia="Times New Roman" w:cs="Times New Roman"/>
          <w:sz w:val="24"/>
          <w:szCs w:val="24"/>
        </w:rPr>
      </w:pPr>
      <w:r>
        <w:rPr/>
        <mc:AlternateContent>
          <mc:Choice Requires="wps">
            <w:drawing>
              <wp:inline distT="0" distB="0" distL="0" distR="0">
                <wp:extent cx="1905" cy="20320"/>
                <wp:effectExtent l="0" t="0" r="0" b="0"/>
                <wp:docPr id="10" name=""/>
                <a:graphic xmlns:a="http://schemas.openxmlformats.org/drawingml/2006/main">
                  <a:graphicData uri="http://schemas.microsoft.com/office/word/2010/wordprocessingShape">
                    <wps:wsp>
                      <wps:cNvSpPr/>
                      <wps:spPr>
                        <a:xfrm>
                          <a:off x="0" y="0"/>
                          <a:ext cx="1440" cy="19800"/>
                        </a:xfrm>
                        <a:prstGeom prst="rect">
                          <a:avLst/>
                        </a:prstGeom>
                        <a:solidFill>
                          <a:srgbClr val="00000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black" stroked="f" style="position:absolute;margin-left:0pt;margin-top:-1.6pt;width:0.05pt;height:1.5pt;mso-position-vertical:top">
                <w10:wrap type="none"/>
                <v:fill o:detectmouseclick="t" type="solid" color2="white"/>
                <v:stroke color="#3465a4" joinstyle="round" endcap="flat"/>
              </v:rect>
            </w:pict>
          </mc:Fallback>
        </mc:AlternateContent>
      </w:r>
    </w:p>
    <w:p>
      <w:pPr>
        <w:pStyle w:val="Normal"/>
        <w:spacing w:lineRule="auto" w:line="240" w:before="0" w:after="0"/>
        <w:jc w:val="left"/>
        <w:rPr>
          <w:sz w:val="28"/>
          <w:szCs w:val="28"/>
        </w:rPr>
      </w:pPr>
      <w:r>
        <w:rPr>
          <w:rFonts w:eastAsia="Times New Roman" w:cs="Times New Roman" w:ascii="Times New Roman" w:hAnsi="Times New Roman"/>
          <w:color w:val="000000"/>
          <w:sz w:val="28"/>
          <w:szCs w:val="28"/>
        </w:rPr>
        <w:t xml:space="preserve">LIGHT SOURCE COMPRISING LASER DIODE </w:t>
      </w:r>
      <w:r>
        <w:rPr>
          <w:rFonts w:eastAsia="Times New Roman" w:cs="Times New Roman" w:ascii="Times New Roman" w:hAnsi="Times New Roman"/>
          <w:b/>
          <w:bCs/>
          <w:i/>
          <w:iCs/>
          <w:color w:val="000000"/>
          <w:sz w:val="28"/>
          <w:szCs w:val="28"/>
        </w:rPr>
        <w:t>MODULE</w:t>
      </w:r>
      <w:r>
        <w:rPr>
          <w:rFonts w:eastAsia="Times New Roman" w:cs="Times New Roman" w:ascii="Times New Roman" w:hAnsi="Times New Roman"/>
          <w:color w:val="000000"/>
          <w:sz w:val="28"/>
          <w:szCs w:val="28"/>
        </w:rPr>
        <w:t xml:space="preserve"> </w:t>
        <w:br/>
        <w:br/>
      </w:r>
      <w:r>
        <w:rPr>
          <w:rFonts w:eastAsia="Times New Roman" w:cs="Times New Roman" w:ascii="Times New Roman" w:hAnsi="Times New Roman"/>
          <w:b/>
          <w:bCs/>
          <w:color w:val="000000"/>
          <w:sz w:val="28"/>
          <w:szCs w:val="28"/>
        </w:rPr>
        <w:t>Abstract</w:t>
      </w:r>
    </w:p>
    <w:p>
      <w:pPr>
        <w:pStyle w:val="Normal"/>
        <w:spacing w:lineRule="auto" w:line="240" w:beforeAutospacing="1" w:afterAutospacing="1"/>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8"/>
          <w:szCs w:val="28"/>
        </w:rPr>
        <w:t xml:space="preserve">A light source comprising a plurality of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diode modules, wherein a plurality of high optical power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diode modules are arranged in high density, each of the plurality of high optical power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diode modules includes a metal substrate mounting a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diode chip and an optical instrument thereon; a Peltier device thermally connected to the metal substrate; a heat pipe having a heat absorbing portion and a heat dissipating portion in which the beat absorbing portion is thermally connected to the Peltier device and a heat dissipating fin is provided on the heat dissipating portion; and a heat pipe reinforcing member to hold the heat dissipating fin and reinforce a strength of the heat pipe. </w:t>
      </w:r>
    </w:p>
    <w:p>
      <w:pPr>
        <w:pStyle w:val="Normal"/>
        <w:jc w:val="both"/>
        <w:rPr>
          <w:sz w:val="28"/>
          <w:szCs w:val="28"/>
        </w:rPr>
      </w:pPr>
      <w:r>
        <w:rPr>
          <w:rFonts w:cs="Times New Roman" w:ascii="Times New Roman" w:hAnsi="Times New Roman"/>
          <w:b/>
          <w:sz w:val="28"/>
          <w:szCs w:val="28"/>
          <w:lang w:val="ru-RU"/>
        </w:rPr>
        <w:t>ПРИЛОЖЕНИЕ 2</w:t>
      </w:r>
    </w:p>
    <w:tbl>
      <w:tblPr>
        <w:tblW w:w="5000" w:type="pct"/>
        <w:jc w:val="left"/>
        <w:tblInd w:w="0" w:type="dxa"/>
        <w:tblCellMar>
          <w:top w:w="15" w:type="dxa"/>
          <w:left w:w="15" w:type="dxa"/>
          <w:bottom w:w="15" w:type="dxa"/>
          <w:right w:w="15" w:type="dxa"/>
        </w:tblCellMar>
        <w:tblLook w:val="04a0" w:noVBand="1" w:noHBand="0" w:lastColumn="0" w:firstColumn="1" w:lastRow="0" w:firstRow="1"/>
      </w:tblPr>
      <w:tblGrid>
        <w:gridCol w:w="4679"/>
        <w:gridCol w:w="4680"/>
      </w:tblGrid>
      <w:tr>
        <w:trPr/>
        <w:tc>
          <w:tcPr>
            <w:tcW w:w="4679"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United States Patent Application</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 xml:space="preserve">20190067161 </w:t>
            </w:r>
          </w:p>
        </w:tc>
      </w:tr>
      <w:tr>
        <w:trPr/>
        <w:tc>
          <w:tcPr>
            <w:tcW w:w="4679" w:type="dxa"/>
            <w:tcBorders/>
            <w:shd w:fill="auto" w:val="clea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Kind Code</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 xml:space="preserve">A1 </w:t>
            </w:r>
          </w:p>
        </w:tc>
      </w:tr>
      <w:tr>
        <w:trPr/>
        <w:tc>
          <w:tcPr>
            <w:tcW w:w="4679"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 xml:space="preserve">Kaifuchi; Yoshikazu </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 xml:space="preserve">February 28, 2019 </w:t>
            </w:r>
          </w:p>
        </w:tc>
      </w:tr>
    </w:tbl>
    <w:p>
      <w:pPr>
        <w:pStyle w:val="Normal"/>
        <w:spacing w:lineRule="auto" w:line="240" w:before="0" w:after="0"/>
        <w:jc w:val="both"/>
        <w:rPr>
          <w:rFonts w:ascii="Times New Roman" w:hAnsi="Times New Roman" w:eastAsia="Times New Roman" w:cs="Times New Roman"/>
          <w:sz w:val="24"/>
          <w:szCs w:val="24"/>
        </w:rPr>
      </w:pPr>
      <w:r>
        <w:rPr/>
        <mc:AlternateContent>
          <mc:Choice Requires="wps">
            <w:drawing>
              <wp:inline distT="0" distB="0" distL="0" distR="0">
                <wp:extent cx="1905" cy="20320"/>
                <wp:effectExtent l="0" t="0" r="0" b="0"/>
                <wp:docPr id="11" name=""/>
                <a:graphic xmlns:a="http://schemas.openxmlformats.org/drawingml/2006/main">
                  <a:graphicData uri="http://schemas.microsoft.com/office/word/2010/wordprocessingShape">
                    <wps:wsp>
                      <wps:cNvSpPr/>
                      <wps:spPr>
                        <a:xfrm>
                          <a:off x="0" y="0"/>
                          <a:ext cx="1440" cy="19800"/>
                        </a:xfrm>
                        <a:prstGeom prst="rect">
                          <a:avLst/>
                        </a:prstGeom>
                        <a:solidFill>
                          <a:srgbClr val="00000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black" stroked="f" style="position:absolute;margin-left:0pt;margin-top:-1.6pt;width:0.05pt;height:1.5pt;mso-position-vertical:top">
                <w10:wrap type="none"/>
                <v:fill o:detectmouseclick="t" type="solid" color2="white"/>
                <v:stroke color="#3465a4" joinstyle="round" endcap="flat"/>
              </v:rect>
            </w:pict>
          </mc:Fallback>
        </mc:AlternateContent>
      </w:r>
    </w:p>
    <w:p>
      <w:pPr>
        <w:pStyle w:val="Normal"/>
        <w:spacing w:lineRule="auto" w:line="240" w:before="0" w:after="0"/>
        <w:jc w:val="left"/>
        <w:rPr>
          <w:sz w:val="28"/>
          <w:szCs w:val="28"/>
        </w:rPr>
      </w:pPr>
      <w:r>
        <w:rPr>
          <w:rFonts w:eastAsia="Times New Roman" w:cs="Times New Roman" w:ascii="Times New Roman" w:hAnsi="Times New Roman"/>
          <w:color w:val="000000"/>
          <w:sz w:val="28"/>
          <w:szCs w:val="28"/>
        </w:rPr>
        <w:t xml:space="preserve">SEMICONDUCTOR LASER </w:t>
      </w:r>
      <w:r>
        <w:rPr>
          <w:rFonts w:eastAsia="Times New Roman" w:cs="Times New Roman" w:ascii="Times New Roman" w:hAnsi="Times New Roman"/>
          <w:b/>
          <w:bCs/>
          <w:i/>
          <w:iCs/>
          <w:color w:val="000000"/>
          <w:sz w:val="28"/>
          <w:szCs w:val="28"/>
        </w:rPr>
        <w:t>MODULE</w:t>
      </w:r>
      <w:r>
        <w:rPr>
          <w:rFonts w:eastAsia="Times New Roman" w:cs="Times New Roman" w:ascii="Times New Roman" w:hAnsi="Times New Roman"/>
          <w:color w:val="000000"/>
          <w:sz w:val="28"/>
          <w:szCs w:val="28"/>
        </w:rPr>
        <w:t xml:space="preserve"> AND METHOD FOR MANUFACTURING THE SAME </w:t>
        <w:br/>
        <w:br/>
      </w:r>
      <w:r>
        <w:rPr>
          <w:rFonts w:eastAsia="Times New Roman" w:cs="Times New Roman" w:ascii="Times New Roman" w:hAnsi="Times New Roman"/>
          <w:b/>
          <w:bCs/>
          <w:color w:val="000000"/>
          <w:sz w:val="28"/>
          <w:szCs w:val="28"/>
        </w:rPr>
        <w:t>Abstract</w:t>
      </w:r>
    </w:p>
    <w:p>
      <w:pPr>
        <w:pStyle w:val="Normal"/>
        <w:spacing w:lineRule="auto" w:line="240" w:beforeAutospacing="1" w:afterAutospacing="1"/>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8"/>
          <w:szCs w:val="28"/>
        </w:rPr>
        <w:t xml:space="preserve">The semiconductor </w:t>
      </w:r>
      <w:r>
        <w:rPr>
          <w:rFonts w:eastAsia="Times New Roman" w:cs="Times New Roman" w:ascii="Times New Roman" w:hAnsi="Times New Roman"/>
          <w:b/>
          <w:bCs/>
          <w:i/>
          <w:iCs/>
          <w:color w:val="000000"/>
          <w:sz w:val="28"/>
          <w:szCs w:val="28"/>
        </w:rPr>
        <w:t>laser module</w:t>
      </w:r>
      <w:r>
        <w:rPr>
          <w:rFonts w:eastAsia="Times New Roman" w:cs="Times New Roman" w:ascii="Times New Roman" w:hAnsi="Times New Roman"/>
          <w:color w:val="000000"/>
          <w:sz w:val="28"/>
          <w:szCs w:val="28"/>
        </w:rPr>
        <w:t xml:space="preserve"> 1 has an electrically conductive heat sink 10, a submount 20 disposed above the heat sink 10, a semiconductor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device 30 disposed above the submount 20, a lower solder layer 50 disposed between the heat sink 10 and the submount 20, and an upper solder layer 60 electrically connected to the semiconductor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device 30 and the heat sink 10. This upper solder layer 60 has an electric resistivity lower than an electric resistivity of the submount 20 and extends along surfaces 21 and 22 of the submount 20 to the heat sink 10. </w:t>
      </w:r>
    </w:p>
    <w:p>
      <w:pPr>
        <w:pStyle w:val="Normal"/>
        <w:jc w:val="both"/>
        <w:rPr>
          <w:sz w:val="28"/>
          <w:szCs w:val="28"/>
        </w:rPr>
      </w:pPr>
      <w:r>
        <w:rPr>
          <w:rFonts w:cs="Times New Roman" w:ascii="Times New Roman" w:hAnsi="Times New Roman"/>
          <w:b/>
          <w:sz w:val="28"/>
          <w:szCs w:val="28"/>
          <w:lang w:val="ru-RU"/>
        </w:rPr>
        <w:t>ПРИЛОЖЕНИЕ 3</w:t>
      </w:r>
    </w:p>
    <w:tbl>
      <w:tblPr>
        <w:tblW w:w="5000" w:type="pct"/>
        <w:jc w:val="left"/>
        <w:tblInd w:w="0" w:type="dxa"/>
        <w:tblCellMar>
          <w:top w:w="15" w:type="dxa"/>
          <w:left w:w="15" w:type="dxa"/>
          <w:bottom w:w="15" w:type="dxa"/>
          <w:right w:w="15" w:type="dxa"/>
        </w:tblCellMar>
        <w:tblLook w:val="04a0" w:noVBand="1" w:noHBand="0" w:lastColumn="0" w:firstColumn="1" w:lastRow="0" w:firstRow="1"/>
      </w:tblPr>
      <w:tblGrid>
        <w:gridCol w:w="4679"/>
        <w:gridCol w:w="4680"/>
      </w:tblGrid>
      <w:tr>
        <w:trPr/>
        <w:tc>
          <w:tcPr>
            <w:tcW w:w="4679"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United States Patent Application</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 xml:space="preserve">20180191135 </w:t>
            </w:r>
          </w:p>
        </w:tc>
      </w:tr>
      <w:tr>
        <w:trPr/>
        <w:tc>
          <w:tcPr>
            <w:tcW w:w="4679" w:type="dxa"/>
            <w:tcBorders/>
            <w:shd w:fill="auto" w:val="clea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Kind Code</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 xml:space="preserve">A1 </w:t>
            </w:r>
          </w:p>
        </w:tc>
      </w:tr>
      <w:tr>
        <w:trPr/>
        <w:tc>
          <w:tcPr>
            <w:tcW w:w="4679"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 xml:space="preserve">YANASE; Atsushi </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 xml:space="preserve">July 5, 2018 </w:t>
            </w:r>
          </w:p>
        </w:tc>
      </w:tr>
    </w:tbl>
    <w:p>
      <w:pPr>
        <w:pStyle w:val="Normal"/>
        <w:spacing w:lineRule="auto" w:line="240" w:before="0" w:after="0"/>
        <w:jc w:val="both"/>
        <w:rPr>
          <w:rFonts w:ascii="Times New Roman" w:hAnsi="Times New Roman" w:eastAsia="Times New Roman" w:cs="Times New Roman"/>
          <w:sz w:val="24"/>
          <w:szCs w:val="24"/>
        </w:rPr>
      </w:pPr>
      <w:r>
        <w:rPr/>
        <mc:AlternateContent>
          <mc:Choice Requires="wps">
            <w:drawing>
              <wp:inline distT="0" distB="0" distL="0" distR="0">
                <wp:extent cx="1905" cy="20320"/>
                <wp:effectExtent l="0" t="0" r="0" b="0"/>
                <wp:docPr id="12" name=""/>
                <a:graphic xmlns:a="http://schemas.openxmlformats.org/drawingml/2006/main">
                  <a:graphicData uri="http://schemas.microsoft.com/office/word/2010/wordprocessingShape">
                    <wps:wsp>
                      <wps:cNvSpPr/>
                      <wps:spPr>
                        <a:xfrm>
                          <a:off x="0" y="0"/>
                          <a:ext cx="1440" cy="19800"/>
                        </a:xfrm>
                        <a:prstGeom prst="rect">
                          <a:avLst/>
                        </a:prstGeom>
                        <a:solidFill>
                          <a:srgbClr val="00000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black" stroked="f" style="position:absolute;margin-left:0pt;margin-top:-1.6pt;width:0.05pt;height:1.5pt;mso-position-vertical:top">
                <w10:wrap type="none"/>
                <v:fill o:detectmouseclick="t" type="solid" color2="white"/>
                <v:stroke color="#3465a4" joinstyle="round" endcap="flat"/>
              </v:rect>
            </w:pict>
          </mc:Fallback>
        </mc:AlternateContent>
      </w:r>
    </w:p>
    <w:p>
      <w:pPr>
        <w:pStyle w:val="Normal"/>
        <w:spacing w:lineRule="auto" w:line="240" w:before="0" w:after="0"/>
        <w:jc w:val="left"/>
        <w:rPr>
          <w:sz w:val="28"/>
          <w:szCs w:val="28"/>
        </w:rPr>
      </w:pPr>
      <w:r>
        <w:rPr>
          <w:rFonts w:eastAsia="Times New Roman" w:cs="Times New Roman" w:ascii="Times New Roman" w:hAnsi="Times New Roman"/>
          <w:color w:val="000000"/>
          <w:sz w:val="28"/>
          <w:szCs w:val="28"/>
        </w:rPr>
        <w:t xml:space="preserve">LASER UNIT AND LASER DEVICE </w:t>
        <w:b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Abstract</w:t>
      </w:r>
    </w:p>
    <w:p>
      <w:pPr>
        <w:pStyle w:val="Normal"/>
        <w:spacing w:lineRule="auto" w:line="240" w:beforeAutospacing="1" w:afterAutospacing="1"/>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8"/>
          <w:szCs w:val="28"/>
        </w:rPr>
        <w:t xml:space="preserve">The light-concentration density or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power of a combined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beam bundle, obtained by combining individual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beams that are caused to oscillate by and are output from a plurality of single-emitter LDs, is increased efficiently, with high quality. On a bottom plate or a unit base 22 of the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unit 10, there are disposed: a pair of stacked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beam creation units 24L, 24R which are arranged with left-right symmetry with respect to a center line N; a single wavelength stabilizing element (VBG) 26 of which an incidence plane vertically intersects the center line N; a pair of primary anamorphic prisms 28L, 28R which are arranged separately on the right and left of the center line N; a mirror-type beam rotation element 30 disposed on the center line N; and a secondary anamorphic prism 32 disposed offset from the beam rotation element 30 in a direction (X-direction) perpendicular to the center line N. </w:t>
      </w:r>
    </w:p>
    <w:p>
      <w:pPr>
        <w:pStyle w:val="Normal"/>
        <w:jc w:val="both"/>
        <w:rPr>
          <w:sz w:val="28"/>
          <w:szCs w:val="28"/>
        </w:rPr>
      </w:pPr>
      <w:r>
        <w:rPr>
          <w:rFonts w:cs="Times New Roman" w:ascii="Times New Roman" w:hAnsi="Times New Roman"/>
          <w:b/>
          <w:sz w:val="28"/>
          <w:szCs w:val="28"/>
          <w:lang w:val="ru-RU"/>
        </w:rPr>
        <w:t>ПРИЛОЖЕНИЕ 4</w:t>
      </w:r>
    </w:p>
    <w:tbl>
      <w:tblPr>
        <w:tblW w:w="5000" w:type="pct"/>
        <w:jc w:val="left"/>
        <w:tblInd w:w="0" w:type="dxa"/>
        <w:tblCellMar>
          <w:top w:w="15" w:type="dxa"/>
          <w:left w:w="15" w:type="dxa"/>
          <w:bottom w:w="15" w:type="dxa"/>
          <w:right w:w="15" w:type="dxa"/>
        </w:tblCellMar>
        <w:tblLook w:val="04a0" w:noVBand="1" w:noHBand="0" w:lastColumn="0" w:firstColumn="1" w:lastRow="0" w:firstRow="1"/>
      </w:tblPr>
      <w:tblGrid>
        <w:gridCol w:w="4679"/>
        <w:gridCol w:w="4680"/>
      </w:tblGrid>
      <w:tr>
        <w:trPr/>
        <w:tc>
          <w:tcPr>
            <w:tcW w:w="4679"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United States Patent Application</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 xml:space="preserve">20180292053 </w:t>
            </w:r>
          </w:p>
        </w:tc>
      </w:tr>
      <w:tr>
        <w:trPr/>
        <w:tc>
          <w:tcPr>
            <w:tcW w:w="4679" w:type="dxa"/>
            <w:tcBorders/>
            <w:shd w:fill="auto" w:val="clea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Kind Code</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 xml:space="preserve">A1 </w:t>
            </w:r>
          </w:p>
        </w:tc>
      </w:tr>
      <w:tr>
        <w:trPr/>
        <w:tc>
          <w:tcPr>
            <w:tcW w:w="4679"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Minor; Johannes.   et al.</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 xml:space="preserve">October 11, 2018 </w:t>
            </w:r>
          </w:p>
        </w:tc>
      </w:tr>
    </w:tbl>
    <w:p>
      <w:pPr>
        <w:pStyle w:val="Normal"/>
        <w:spacing w:lineRule="auto" w:line="240" w:before="0" w:after="0"/>
        <w:jc w:val="both"/>
        <w:rPr>
          <w:rFonts w:ascii="Times New Roman" w:hAnsi="Times New Roman" w:eastAsia="Times New Roman" w:cs="Times New Roman"/>
          <w:sz w:val="24"/>
          <w:szCs w:val="24"/>
        </w:rPr>
      </w:pPr>
      <w:r>
        <w:rPr/>
        <mc:AlternateContent>
          <mc:Choice Requires="wps">
            <w:drawing>
              <wp:inline distT="0" distB="0" distL="0" distR="0">
                <wp:extent cx="1905" cy="20320"/>
                <wp:effectExtent l="0" t="0" r="0" b="0"/>
                <wp:docPr id="13" name=""/>
                <a:graphic xmlns:a="http://schemas.openxmlformats.org/drawingml/2006/main">
                  <a:graphicData uri="http://schemas.microsoft.com/office/word/2010/wordprocessingShape">
                    <wps:wsp>
                      <wps:cNvSpPr/>
                      <wps:spPr>
                        <a:xfrm>
                          <a:off x="0" y="0"/>
                          <a:ext cx="1440" cy="19800"/>
                        </a:xfrm>
                        <a:prstGeom prst="rect">
                          <a:avLst/>
                        </a:prstGeom>
                        <a:solidFill>
                          <a:srgbClr val="00000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black" stroked="f" style="position:absolute;margin-left:0pt;margin-top:-1.6pt;width:0.05pt;height:1.5pt;mso-position-vertical:top">
                <w10:wrap type="none"/>
                <v:fill o:detectmouseclick="t" type="solid" color2="white"/>
                <v:stroke color="#3465a4" joinstyle="round" endcap="flat"/>
              </v:rect>
            </w:pict>
          </mc:Fallback>
        </mc:AlternateContent>
      </w:r>
    </w:p>
    <w:p>
      <w:pPr>
        <w:pStyle w:val="Normal"/>
        <w:spacing w:lineRule="auto" w:line="240" w:before="0" w:after="0"/>
        <w:jc w:val="left"/>
        <w:rPr>
          <w:sz w:val="28"/>
          <w:szCs w:val="28"/>
        </w:rPr>
      </w:pPr>
      <w:r>
        <w:rPr>
          <w:rFonts w:eastAsia="Times New Roman" w:cs="Times New Roman" w:ascii="Times New Roman" w:hAnsi="Times New Roman"/>
          <w:color w:val="000000"/>
          <w:sz w:val="28"/>
          <w:szCs w:val="28"/>
        </w:rPr>
        <w:t xml:space="preserve">MULTIPLE-LASER LIGHT SOURCE </w:t>
        <w:br/>
        <w:br/>
      </w:r>
      <w:r>
        <w:rPr>
          <w:rFonts w:eastAsia="Times New Roman" w:cs="Times New Roman" w:ascii="Times New Roman" w:hAnsi="Times New Roman"/>
          <w:b/>
          <w:bCs/>
          <w:color w:val="000000"/>
          <w:sz w:val="28"/>
          <w:szCs w:val="28"/>
        </w:rPr>
        <w:t>Abstract</w:t>
      </w:r>
    </w:p>
    <w:p>
      <w:pPr>
        <w:pStyle w:val="Normal"/>
        <w:spacing w:lineRule="auto" w:line="240" w:beforeAutospacing="1" w:afterAutospacing="1"/>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8"/>
          <w:szCs w:val="28"/>
        </w:rPr>
        <w:t xml:space="preserve">A light source includes a plurality of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diodes or other light emitters. Beams of light from the light emitters are steered to provide n array of parallel beams that illuminate a target area with an array of patches of light. In some embodiments the parallel beams are de-magnified to form the array of patches of light. Such a light source has application in illuminating dynamically-addressable focusing elements such as phase modulators, deformable mirrors and dynamically addressable lenses. Light projectors for a wide variety of applications may combine a light source as described herein with a dynamically-addressable focusing element to project defined patterns of light. </w:t>
      </w:r>
    </w:p>
    <w:p>
      <w:pPr>
        <w:pStyle w:val="Normal"/>
        <w:jc w:val="both"/>
        <w:rPr>
          <w:sz w:val="28"/>
          <w:szCs w:val="28"/>
        </w:rPr>
      </w:pPr>
      <w:r>
        <w:rPr>
          <w:rFonts w:cs="Times New Roman" w:ascii="Times New Roman" w:hAnsi="Times New Roman"/>
          <w:b/>
          <w:sz w:val="28"/>
          <w:szCs w:val="28"/>
          <w:lang w:val="ru-RU"/>
        </w:rPr>
        <w:t>ПРИЛОЖЕНИЕ 5</w:t>
      </w:r>
    </w:p>
    <w:tbl>
      <w:tblPr>
        <w:tblW w:w="5000" w:type="pct"/>
        <w:jc w:val="left"/>
        <w:tblInd w:w="0" w:type="dxa"/>
        <w:tblCellMar>
          <w:top w:w="15" w:type="dxa"/>
          <w:left w:w="15" w:type="dxa"/>
          <w:bottom w:w="15" w:type="dxa"/>
          <w:right w:w="15" w:type="dxa"/>
        </w:tblCellMar>
        <w:tblLook w:val="04a0" w:noVBand="1" w:noHBand="0" w:lastColumn="0" w:firstColumn="1" w:lastRow="0" w:firstRow="1"/>
      </w:tblPr>
      <w:tblGrid>
        <w:gridCol w:w="4679"/>
        <w:gridCol w:w="4680"/>
      </w:tblGrid>
      <w:tr>
        <w:trPr/>
        <w:tc>
          <w:tcPr>
            <w:tcW w:w="4679"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United States Patent Application</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 xml:space="preserve">20180316160 </w:t>
            </w:r>
          </w:p>
        </w:tc>
      </w:tr>
      <w:tr>
        <w:trPr/>
        <w:tc>
          <w:tcPr>
            <w:tcW w:w="4679" w:type="dxa"/>
            <w:tcBorders/>
            <w:shd w:fill="auto" w:val="clea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Kind Code</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 xml:space="preserve">A1 </w:t>
            </w:r>
          </w:p>
        </w:tc>
      </w:tr>
      <w:tr>
        <w:trPr/>
        <w:tc>
          <w:tcPr>
            <w:tcW w:w="4679"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Raring; James W..   et al.</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 xml:space="preserve">November 1, 2018 </w:t>
            </w:r>
          </w:p>
        </w:tc>
      </w:tr>
    </w:tbl>
    <w:p>
      <w:pPr>
        <w:pStyle w:val="Normal"/>
        <w:spacing w:lineRule="auto" w:line="240" w:before="0" w:after="0"/>
        <w:jc w:val="both"/>
        <w:rPr>
          <w:rFonts w:ascii="Times New Roman" w:hAnsi="Times New Roman" w:eastAsia="Times New Roman" w:cs="Times New Roman"/>
          <w:sz w:val="24"/>
          <w:szCs w:val="24"/>
        </w:rPr>
      </w:pPr>
      <w:r>
        <w:rPr/>
        <mc:AlternateContent>
          <mc:Choice Requires="wps">
            <w:drawing>
              <wp:inline distT="0" distB="0" distL="0" distR="0">
                <wp:extent cx="1905" cy="20320"/>
                <wp:effectExtent l="0" t="0" r="0" b="0"/>
                <wp:docPr id="14" name=""/>
                <a:graphic xmlns:a="http://schemas.openxmlformats.org/drawingml/2006/main">
                  <a:graphicData uri="http://schemas.microsoft.com/office/word/2010/wordprocessingShape">
                    <wps:wsp>
                      <wps:cNvSpPr/>
                      <wps:spPr>
                        <a:xfrm>
                          <a:off x="0" y="0"/>
                          <a:ext cx="1440" cy="19800"/>
                        </a:xfrm>
                        <a:prstGeom prst="rect">
                          <a:avLst/>
                        </a:prstGeom>
                        <a:solidFill>
                          <a:srgbClr val="00000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black" stroked="f" style="position:absolute;margin-left:0pt;margin-top:-1.6pt;width:0.05pt;height:1.5pt;mso-position-vertical:top">
                <w10:wrap type="none"/>
                <v:fill o:detectmouseclick="t" type="solid" color2="white"/>
                <v:stroke color="#3465a4" joinstyle="round" endcap="flat"/>
              </v:rect>
            </w:pict>
          </mc:Fallback>
        </mc:AlternateContent>
      </w:r>
    </w:p>
    <w:p>
      <w:pPr>
        <w:pStyle w:val="Normal"/>
        <w:spacing w:lineRule="auto" w:line="240" w:before="0" w:after="0"/>
        <w:jc w:val="left"/>
        <w:rPr>
          <w:sz w:val="28"/>
          <w:szCs w:val="28"/>
        </w:rPr>
      </w:pPr>
      <w:r>
        <w:rPr>
          <w:rFonts w:eastAsia="Times New Roman" w:cs="Times New Roman" w:ascii="Times New Roman" w:hAnsi="Times New Roman"/>
          <w:color w:val="000000"/>
          <w:sz w:val="28"/>
          <w:szCs w:val="28"/>
        </w:rPr>
        <w:t xml:space="preserve">INTEGRATED WHITE LIGHT SOURCE USING A LASER </w:t>
      </w:r>
      <w:r>
        <w:rPr>
          <w:rFonts w:eastAsia="Times New Roman" w:cs="Times New Roman" w:ascii="Times New Roman" w:hAnsi="Times New Roman"/>
          <w:b/>
          <w:bCs/>
          <w:i/>
          <w:iCs/>
          <w:color w:val="000000"/>
          <w:sz w:val="28"/>
          <w:szCs w:val="28"/>
        </w:rPr>
        <w:t>DIODE</w:t>
      </w:r>
      <w:r>
        <w:rPr>
          <w:rFonts w:eastAsia="Times New Roman" w:cs="Times New Roman" w:ascii="Times New Roman" w:hAnsi="Times New Roman"/>
          <w:color w:val="000000"/>
          <w:sz w:val="28"/>
          <w:szCs w:val="28"/>
        </w:rPr>
        <w:t xml:space="preserve"> AND A PHOSPHOR IN A SURFACE MOUNT DEVICE PACKAGE </w:t>
        <w:br/>
        <w:br/>
      </w:r>
      <w:r>
        <w:rPr>
          <w:rFonts w:eastAsia="Times New Roman" w:cs="Times New Roman" w:ascii="Times New Roman" w:hAnsi="Times New Roman"/>
          <w:b/>
          <w:bCs/>
          <w:color w:val="000000"/>
          <w:sz w:val="28"/>
          <w:szCs w:val="28"/>
        </w:rPr>
        <w:t>Abstract</w:t>
      </w:r>
    </w:p>
    <w:p>
      <w:pPr>
        <w:pStyle w:val="Normal"/>
        <w:spacing w:lineRule="auto" w:line="240" w:beforeAutospacing="1" w:afterAutospacing="1"/>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8"/>
          <w:szCs w:val="28"/>
        </w:rPr>
        <w:t xml:space="preserve">The embodiments described herein provide a device and method for an integrated white colored electromagnetic radiation source using a combination of </w:t>
      </w:r>
      <w:r>
        <w:rPr>
          <w:rFonts w:eastAsia="Times New Roman" w:cs="Times New Roman" w:ascii="Times New Roman" w:hAnsi="Times New Roman"/>
          <w:b/>
          <w:bCs/>
          <w:i/>
          <w:iCs/>
          <w:color w:val="000000"/>
          <w:sz w:val="28"/>
          <w:szCs w:val="28"/>
        </w:rPr>
        <w:t>laser diode</w:t>
      </w:r>
      <w:r>
        <w:rPr>
          <w:rFonts w:eastAsia="Times New Roman" w:cs="Times New Roman" w:ascii="Times New Roman" w:hAnsi="Times New Roman"/>
          <w:color w:val="000000"/>
          <w:sz w:val="28"/>
          <w:szCs w:val="28"/>
        </w:rPr>
        <w:t xml:space="preserve"> excitation sources based on gallium and nitrogen containing materials and light emitting source based on phosphor materials. A violet, blue, or other wavelength </w:t>
      </w:r>
      <w:r>
        <w:rPr>
          <w:rFonts w:eastAsia="Times New Roman" w:cs="Times New Roman" w:ascii="Times New Roman" w:hAnsi="Times New Roman"/>
          <w:b/>
          <w:bCs/>
          <w:i/>
          <w:iCs/>
          <w:color w:val="000000"/>
          <w:sz w:val="28"/>
          <w:szCs w:val="28"/>
        </w:rPr>
        <w:t>laser diode</w:t>
      </w:r>
      <w:r>
        <w:rPr>
          <w:rFonts w:eastAsia="Times New Roman" w:cs="Times New Roman" w:ascii="Times New Roman" w:hAnsi="Times New Roman"/>
          <w:color w:val="000000"/>
          <w:sz w:val="28"/>
          <w:szCs w:val="28"/>
        </w:rPr>
        <w:t xml:space="preserve"> source based on gallium and nitrogen materials may be closely integrated with phosphor materials, such as yellow phosphors, to form a compact, high-brightness, and highly-efficient, white light source. The phosphor material is provided with a plurality of scattering centers scribed on an excitation surface or inside bulk of a plate to scatter electromagnetic radiation of a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beam from the excitation source incident on the excitation surface to enhance generation and quality of an emitted light from the phosphor material for outputting a white light emission either in reflection mode or transmission mode. </w:t>
      </w:r>
    </w:p>
    <w:p>
      <w:pPr>
        <w:pStyle w:val="Normal"/>
        <w:jc w:val="both"/>
        <w:rPr>
          <w:sz w:val="28"/>
          <w:szCs w:val="28"/>
        </w:rPr>
      </w:pPr>
      <w:r>
        <w:rPr>
          <w:rFonts w:cs="Times New Roman" w:ascii="Times New Roman" w:hAnsi="Times New Roman"/>
          <w:b/>
          <w:sz w:val="28"/>
          <w:szCs w:val="28"/>
          <w:lang w:val="ru-RU"/>
        </w:rPr>
        <w:t>ПРИЛОЖЕНИЕ 6</w:t>
      </w:r>
    </w:p>
    <w:tbl>
      <w:tblPr>
        <w:tblW w:w="5000" w:type="pct"/>
        <w:jc w:val="left"/>
        <w:tblInd w:w="0" w:type="dxa"/>
        <w:tblCellMar>
          <w:top w:w="15" w:type="dxa"/>
          <w:left w:w="15" w:type="dxa"/>
          <w:bottom w:w="15" w:type="dxa"/>
          <w:right w:w="15" w:type="dxa"/>
        </w:tblCellMar>
        <w:tblLook w:val="04a0" w:noVBand="1" w:noHBand="0" w:lastColumn="0" w:firstColumn="1" w:lastRow="0" w:firstRow="1"/>
      </w:tblPr>
      <w:tblGrid>
        <w:gridCol w:w="4679"/>
        <w:gridCol w:w="4680"/>
      </w:tblGrid>
      <w:tr>
        <w:trPr/>
        <w:tc>
          <w:tcPr>
            <w:tcW w:w="4679"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United States Patent Application</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 xml:space="preserve">20190007668 </w:t>
            </w:r>
          </w:p>
        </w:tc>
      </w:tr>
      <w:tr>
        <w:trPr/>
        <w:tc>
          <w:tcPr>
            <w:tcW w:w="4679" w:type="dxa"/>
            <w:tcBorders/>
            <w:shd w:fill="auto" w:val="clea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Kind Code</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 xml:space="preserve">A1 </w:t>
            </w:r>
          </w:p>
        </w:tc>
      </w:tr>
      <w:tr>
        <w:trPr/>
        <w:tc>
          <w:tcPr>
            <w:tcW w:w="4679"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Novotny; Vlad Joseph.   et al.</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 xml:space="preserve">January 3, 2019 </w:t>
            </w:r>
          </w:p>
        </w:tc>
      </w:tr>
    </w:tbl>
    <w:p>
      <w:pPr>
        <w:pStyle w:val="Normal"/>
        <w:spacing w:lineRule="auto" w:line="240" w:before="0" w:after="0"/>
        <w:jc w:val="both"/>
        <w:rPr>
          <w:rFonts w:ascii="Times New Roman" w:hAnsi="Times New Roman" w:eastAsia="Times New Roman" w:cs="Times New Roman"/>
          <w:sz w:val="24"/>
          <w:szCs w:val="24"/>
        </w:rPr>
      </w:pPr>
      <w:r>
        <w:rPr/>
        <mc:AlternateContent>
          <mc:Choice Requires="wps">
            <w:drawing>
              <wp:inline distT="0" distB="0" distL="0" distR="0">
                <wp:extent cx="1905" cy="20320"/>
                <wp:effectExtent l="0" t="0" r="0" b="0"/>
                <wp:docPr id="15" name=""/>
                <a:graphic xmlns:a="http://schemas.openxmlformats.org/drawingml/2006/main">
                  <a:graphicData uri="http://schemas.microsoft.com/office/word/2010/wordprocessingShape">
                    <wps:wsp>
                      <wps:cNvSpPr/>
                      <wps:spPr>
                        <a:xfrm>
                          <a:off x="0" y="0"/>
                          <a:ext cx="1440" cy="19800"/>
                        </a:xfrm>
                        <a:prstGeom prst="rect">
                          <a:avLst/>
                        </a:prstGeom>
                        <a:solidFill>
                          <a:srgbClr val="00000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black" stroked="f" style="position:absolute;margin-left:0pt;margin-top:-1.6pt;width:0.05pt;height:1.5pt;mso-position-vertical:top">
                <w10:wrap type="none"/>
                <v:fill o:detectmouseclick="t" type="solid" color2="white"/>
                <v:stroke color="#3465a4" joinstyle="round" endcap="flat"/>
              </v:rect>
            </w:pict>
          </mc:Fallback>
        </mc:AlternateContent>
      </w:r>
    </w:p>
    <w:p>
      <w:pPr>
        <w:pStyle w:val="Normal"/>
        <w:spacing w:lineRule="auto" w:line="240" w:before="0" w:after="0"/>
        <w:jc w:val="left"/>
        <w:rPr>
          <w:sz w:val="28"/>
          <w:szCs w:val="28"/>
        </w:rPr>
      </w:pPr>
      <w:r>
        <w:rPr>
          <w:rFonts w:eastAsia="Times New Roman" w:cs="Times New Roman" w:ascii="Times New Roman" w:hAnsi="Times New Roman"/>
          <w:color w:val="000000"/>
          <w:sz w:val="28"/>
          <w:szCs w:val="28"/>
        </w:rPr>
        <w:t xml:space="preserve">LASER LIGHTING HAVING SELECTIVE RESOLUTION </w:t>
        <w:b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Abstract</w:t>
      </w:r>
    </w:p>
    <w:p>
      <w:pPr>
        <w:pStyle w:val="Normal"/>
        <w:spacing w:lineRule="auto" w:line="240" w:beforeAutospacing="1" w:afterAutospacing="1"/>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8"/>
          <w:szCs w:val="28"/>
        </w:rPr>
        <w:t xml:space="preserve">In an example, the present invention provides an optical engine apparatus. The apparatus has a </w:t>
      </w:r>
      <w:r>
        <w:rPr>
          <w:rFonts w:eastAsia="Times New Roman" w:cs="Times New Roman" w:ascii="Times New Roman" w:hAnsi="Times New Roman"/>
          <w:b/>
          <w:bCs/>
          <w:i/>
          <w:iCs/>
          <w:color w:val="000000"/>
          <w:sz w:val="28"/>
          <w:szCs w:val="28"/>
        </w:rPr>
        <w:t>laser diode</w:t>
      </w:r>
      <w:r>
        <w:rPr>
          <w:rFonts w:eastAsia="Times New Roman" w:cs="Times New Roman" w:ascii="Times New Roman" w:hAnsi="Times New Roman"/>
          <w:color w:val="000000"/>
          <w:sz w:val="28"/>
          <w:szCs w:val="28"/>
        </w:rPr>
        <w:t xml:space="preserve"> device, the </w:t>
      </w:r>
      <w:r>
        <w:rPr>
          <w:rFonts w:eastAsia="Times New Roman" w:cs="Times New Roman" w:ascii="Times New Roman" w:hAnsi="Times New Roman"/>
          <w:b/>
          <w:bCs/>
          <w:i/>
          <w:iCs/>
          <w:color w:val="000000"/>
          <w:sz w:val="28"/>
          <w:szCs w:val="28"/>
        </w:rPr>
        <w:t>laser diode</w:t>
      </w:r>
      <w:r>
        <w:rPr>
          <w:rFonts w:eastAsia="Times New Roman" w:cs="Times New Roman" w:ascii="Times New Roman" w:hAnsi="Times New Roman"/>
          <w:color w:val="000000"/>
          <w:sz w:val="28"/>
          <w:szCs w:val="28"/>
        </w:rPr>
        <w:t xml:space="preserve"> device characterized by a wavelength ranging from 300 to 2000 nm or any variations thereof. In an example, the apparatus has a lens coupled to an output of the </w:t>
      </w:r>
      <w:r>
        <w:rPr>
          <w:rFonts w:eastAsia="Times New Roman" w:cs="Times New Roman" w:ascii="Times New Roman" w:hAnsi="Times New Roman"/>
          <w:b/>
          <w:bCs/>
          <w:i/>
          <w:iCs/>
          <w:color w:val="000000"/>
          <w:sz w:val="28"/>
          <w:szCs w:val="28"/>
        </w:rPr>
        <w:t>laser diode</w:t>
      </w:r>
      <w:r>
        <w:rPr>
          <w:rFonts w:eastAsia="Times New Roman" w:cs="Times New Roman" w:ascii="Times New Roman" w:hAnsi="Times New Roman"/>
          <w:color w:val="000000"/>
          <w:sz w:val="28"/>
          <w:szCs w:val="28"/>
        </w:rPr>
        <w:t xml:space="preserve"> device and a scanning mirror device operably coupled to the </w:t>
      </w:r>
      <w:r>
        <w:rPr>
          <w:rFonts w:eastAsia="Times New Roman" w:cs="Times New Roman" w:ascii="Times New Roman" w:hAnsi="Times New Roman"/>
          <w:b/>
          <w:bCs/>
          <w:i/>
          <w:iCs/>
          <w:color w:val="000000"/>
          <w:sz w:val="28"/>
          <w:szCs w:val="28"/>
        </w:rPr>
        <w:t>laser diode</w:t>
      </w:r>
      <w:r>
        <w:rPr>
          <w:rFonts w:eastAsia="Times New Roman" w:cs="Times New Roman" w:ascii="Times New Roman" w:hAnsi="Times New Roman"/>
          <w:color w:val="000000"/>
          <w:sz w:val="28"/>
          <w:szCs w:val="28"/>
        </w:rPr>
        <w:t xml:space="preserve"> device. In an example, the apparatus has an un-patterned phosphor plate coupled to the scanning mirror and configured with the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device; and a spatial image formed on a portion of the un-patterned phosphor plate configured by a modulation of the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and movement of the scanning mirror device. </w:t>
      </w:r>
    </w:p>
    <w:p>
      <w:pPr>
        <w:pStyle w:val="Normal"/>
        <w:jc w:val="both"/>
        <w:rPr>
          <w:sz w:val="28"/>
          <w:szCs w:val="28"/>
        </w:rPr>
      </w:pPr>
      <w:r>
        <w:rPr>
          <w:rFonts w:cs="Times New Roman" w:ascii="Times New Roman" w:hAnsi="Times New Roman"/>
          <w:b/>
          <w:sz w:val="28"/>
          <w:szCs w:val="28"/>
          <w:lang w:val="ru-RU"/>
        </w:rPr>
        <w:t>ПРИЛОЖЕНИЕ 7</w:t>
      </w:r>
    </w:p>
    <w:tbl>
      <w:tblPr>
        <w:tblW w:w="5000" w:type="pct"/>
        <w:jc w:val="left"/>
        <w:tblInd w:w="0" w:type="dxa"/>
        <w:tblCellMar>
          <w:top w:w="15" w:type="dxa"/>
          <w:left w:w="15" w:type="dxa"/>
          <w:bottom w:w="15" w:type="dxa"/>
          <w:right w:w="15" w:type="dxa"/>
        </w:tblCellMar>
        <w:tblLook w:val="04a0" w:noVBand="1" w:noHBand="0" w:lastColumn="0" w:firstColumn="1" w:lastRow="0" w:firstRow="1"/>
      </w:tblPr>
      <w:tblGrid>
        <w:gridCol w:w="4679"/>
        <w:gridCol w:w="4680"/>
      </w:tblGrid>
      <w:tr>
        <w:trPr/>
        <w:tc>
          <w:tcPr>
            <w:tcW w:w="4679"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United States Patent Application</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 xml:space="preserve">20180375279 </w:t>
            </w:r>
          </w:p>
        </w:tc>
      </w:tr>
      <w:tr>
        <w:trPr/>
        <w:tc>
          <w:tcPr>
            <w:tcW w:w="4679" w:type="dxa"/>
            <w:tcBorders/>
            <w:shd w:fill="auto" w:val="clea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Kind Code</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 xml:space="preserve">A1 </w:t>
            </w:r>
          </w:p>
        </w:tc>
      </w:tr>
      <w:tr>
        <w:trPr/>
        <w:tc>
          <w:tcPr>
            <w:tcW w:w="4679"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KAJIWARA; Koji.   et al.</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 xml:space="preserve">December 27, 2018 </w:t>
            </w:r>
          </w:p>
        </w:tc>
      </w:tr>
    </w:tbl>
    <w:p>
      <w:pPr>
        <w:pStyle w:val="Normal"/>
        <w:spacing w:lineRule="auto" w:line="240" w:before="0" w:after="0"/>
        <w:jc w:val="both"/>
        <w:rPr>
          <w:rFonts w:ascii="Times New Roman" w:hAnsi="Times New Roman" w:eastAsia="Times New Roman" w:cs="Times New Roman"/>
          <w:sz w:val="24"/>
          <w:szCs w:val="24"/>
        </w:rPr>
      </w:pPr>
      <w:r>
        <w:rPr/>
        <mc:AlternateContent>
          <mc:Choice Requires="wps">
            <w:drawing>
              <wp:inline distT="0" distB="0" distL="0" distR="0">
                <wp:extent cx="1905" cy="20320"/>
                <wp:effectExtent l="0" t="0" r="0" b="0"/>
                <wp:docPr id="16" name=""/>
                <a:graphic xmlns:a="http://schemas.openxmlformats.org/drawingml/2006/main">
                  <a:graphicData uri="http://schemas.microsoft.com/office/word/2010/wordprocessingShape">
                    <wps:wsp>
                      <wps:cNvSpPr/>
                      <wps:spPr>
                        <a:xfrm>
                          <a:off x="0" y="0"/>
                          <a:ext cx="1440" cy="19800"/>
                        </a:xfrm>
                        <a:prstGeom prst="rect">
                          <a:avLst/>
                        </a:prstGeom>
                        <a:solidFill>
                          <a:srgbClr val="00000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black" stroked="f" style="position:absolute;margin-left:0pt;margin-top:-1.6pt;width:0.05pt;height:1.5pt;mso-position-vertical:top">
                <w10:wrap type="none"/>
                <v:fill o:detectmouseclick="t" type="solid" color2="white"/>
                <v:stroke color="#3465a4" joinstyle="round" endcap="flat"/>
              </v:rect>
            </w:pict>
          </mc:Fallback>
        </mc:AlternateContent>
      </w:r>
    </w:p>
    <w:p>
      <w:pPr>
        <w:pStyle w:val="Normal"/>
        <w:spacing w:lineRule="auto" w:line="240" w:before="0" w:after="0"/>
        <w:jc w:val="left"/>
        <w:rPr>
          <w:sz w:val="28"/>
          <w:szCs w:val="28"/>
        </w:rPr>
      </w:pPr>
      <w:r>
        <w:rPr>
          <w:rFonts w:eastAsia="Times New Roman" w:cs="Times New Roman" w:ascii="Times New Roman" w:hAnsi="Times New Roman"/>
          <w:color w:val="000000"/>
          <w:sz w:val="28"/>
          <w:szCs w:val="28"/>
        </w:rPr>
        <w:t xml:space="preserve">OPTICAL </w:t>
      </w:r>
      <w:r>
        <w:rPr>
          <w:rFonts w:eastAsia="Times New Roman" w:cs="Times New Roman" w:ascii="Times New Roman" w:hAnsi="Times New Roman"/>
          <w:b/>
          <w:bCs/>
          <w:i/>
          <w:iCs/>
          <w:color w:val="000000"/>
          <w:sz w:val="28"/>
          <w:szCs w:val="28"/>
        </w:rPr>
        <w:t>MODULE</w:t>
      </w:r>
      <w:r>
        <w:rPr>
          <w:rFonts w:eastAsia="Times New Roman" w:cs="Times New Roman" w:ascii="Times New Roman" w:hAnsi="Times New Roman"/>
          <w:color w:val="000000"/>
          <w:sz w:val="28"/>
          <w:szCs w:val="28"/>
        </w:rPr>
        <w:t xml:space="preserve"> AND LIGHT OUTPUT DEVICE </w:t>
        <w:b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Abstract</w:t>
      </w:r>
    </w:p>
    <w:p>
      <w:pPr>
        <w:pStyle w:val="Normal"/>
        <w:spacing w:lineRule="auto" w:line="240" w:beforeAutospacing="1" w:afterAutospacing="1"/>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8"/>
          <w:szCs w:val="28"/>
        </w:rPr>
        <w:t xml:space="preserve">An optical </w:t>
      </w:r>
      <w:r>
        <w:rPr>
          <w:rFonts w:eastAsia="Times New Roman" w:cs="Times New Roman" w:ascii="Times New Roman" w:hAnsi="Times New Roman"/>
          <w:b/>
          <w:bCs/>
          <w:i/>
          <w:iCs/>
          <w:color w:val="000000"/>
          <w:sz w:val="28"/>
          <w:szCs w:val="28"/>
        </w:rPr>
        <w:t>module</w:t>
      </w:r>
      <w:r>
        <w:rPr>
          <w:rFonts w:eastAsia="Times New Roman" w:cs="Times New Roman" w:ascii="Times New Roman" w:hAnsi="Times New Roman"/>
          <w:color w:val="000000"/>
          <w:sz w:val="28"/>
          <w:szCs w:val="28"/>
        </w:rPr>
        <w:t xml:space="preserve"> comprising a first optical fiber corresponding to an incidence side for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light a second optical fiber corresponding to an emission side for the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light; and a connection protecting portion that is provided and located so as to cover a connection site for optically connecting the first optical fiber and the second optical fiber, wherein the second optical fiber has a larger core diameter than the first optical fiber, the connection site is a site where a core portion of the first optical fiber and a core portion of the second optical fiber are connected to each other in a discontinuous shape, and the connection protecting portion is formed of a thermally conductive protective material and/or a photorefractive protective material includes refractive index that is equal to or higher than that of a clad portion of the first optical fiber. </w:t>
      </w:r>
    </w:p>
    <w:p>
      <w:pPr>
        <w:pStyle w:val="Normal"/>
        <w:jc w:val="both"/>
        <w:rPr>
          <w:sz w:val="28"/>
          <w:szCs w:val="28"/>
        </w:rPr>
      </w:pPr>
      <w:r>
        <w:rPr>
          <w:rFonts w:cs="Times New Roman" w:ascii="Times New Roman" w:hAnsi="Times New Roman"/>
          <w:b/>
          <w:sz w:val="28"/>
          <w:szCs w:val="28"/>
          <w:lang w:val="ru-RU"/>
        </w:rPr>
        <w:t>ПРИЛОЖЕНИЕ 8</w:t>
      </w:r>
    </w:p>
    <w:tbl>
      <w:tblPr>
        <w:tblW w:w="5000" w:type="pct"/>
        <w:jc w:val="left"/>
        <w:tblInd w:w="0" w:type="dxa"/>
        <w:tblCellMar>
          <w:top w:w="15" w:type="dxa"/>
          <w:left w:w="15" w:type="dxa"/>
          <w:bottom w:w="15" w:type="dxa"/>
          <w:right w:w="15" w:type="dxa"/>
        </w:tblCellMar>
        <w:tblLook w:val="04a0" w:noVBand="1" w:noHBand="0" w:lastColumn="0" w:firstColumn="1" w:lastRow="0" w:firstRow="1"/>
      </w:tblPr>
      <w:tblGrid>
        <w:gridCol w:w="4679"/>
        <w:gridCol w:w="4680"/>
      </w:tblGrid>
      <w:tr>
        <w:trPr/>
        <w:tc>
          <w:tcPr>
            <w:tcW w:w="4679"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United States Patent Application</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 xml:space="preserve">20190091097 </w:t>
            </w:r>
          </w:p>
        </w:tc>
      </w:tr>
      <w:tr>
        <w:trPr/>
        <w:tc>
          <w:tcPr>
            <w:tcW w:w="4679" w:type="dxa"/>
            <w:tcBorders/>
            <w:shd w:fill="auto" w:val="clea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Kind Code</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 xml:space="preserve">A1 </w:t>
            </w:r>
          </w:p>
        </w:tc>
      </w:tr>
      <w:tr>
        <w:trPr/>
        <w:tc>
          <w:tcPr>
            <w:tcW w:w="4679"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Courtion; Colette.   et al.</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 xml:space="preserve">March 28, 2019 </w:t>
            </w:r>
          </w:p>
        </w:tc>
      </w:tr>
    </w:tbl>
    <w:p>
      <w:pPr>
        <w:pStyle w:val="Normal"/>
        <w:spacing w:lineRule="auto" w:line="240" w:before="0" w:after="0"/>
        <w:jc w:val="both"/>
        <w:rPr>
          <w:rFonts w:ascii="Times New Roman" w:hAnsi="Times New Roman" w:eastAsia="Times New Roman" w:cs="Times New Roman"/>
          <w:sz w:val="24"/>
          <w:szCs w:val="24"/>
        </w:rPr>
      </w:pPr>
      <w:r>
        <w:rPr/>
        <mc:AlternateContent>
          <mc:Choice Requires="wps">
            <w:drawing>
              <wp:inline distT="0" distB="0" distL="0" distR="0">
                <wp:extent cx="1905" cy="20320"/>
                <wp:effectExtent l="0" t="0" r="0" b="0"/>
                <wp:docPr id="17" name=""/>
                <a:graphic xmlns:a="http://schemas.openxmlformats.org/drawingml/2006/main">
                  <a:graphicData uri="http://schemas.microsoft.com/office/word/2010/wordprocessingShape">
                    <wps:wsp>
                      <wps:cNvSpPr/>
                      <wps:spPr>
                        <a:xfrm>
                          <a:off x="0" y="0"/>
                          <a:ext cx="1440" cy="19800"/>
                        </a:xfrm>
                        <a:prstGeom prst="rect">
                          <a:avLst/>
                        </a:prstGeom>
                        <a:solidFill>
                          <a:srgbClr val="00000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black" stroked="f" style="position:absolute;margin-left:0pt;margin-top:-1.6pt;width:0.05pt;height:1.5pt;mso-position-vertical:top">
                <w10:wrap type="none"/>
                <v:fill o:detectmouseclick="t" type="solid" color2="white"/>
                <v:stroke color="#3465a4" joinstyle="round" endcap="flat"/>
              </v:rect>
            </w:pict>
          </mc:Fallback>
        </mc:AlternateContent>
      </w:r>
    </w:p>
    <w:p>
      <w:pPr>
        <w:pStyle w:val="Normal"/>
        <w:spacing w:lineRule="auto" w:line="240" w:before="0" w:after="0"/>
        <w:jc w:val="left"/>
        <w:rPr>
          <w:sz w:val="28"/>
          <w:szCs w:val="28"/>
        </w:rPr>
      </w:pPr>
      <w:r>
        <w:rPr>
          <w:rFonts w:eastAsia="Times New Roman" w:cs="Times New Roman" w:ascii="Times New Roman" w:hAnsi="Times New Roman"/>
          <w:color w:val="000000"/>
          <w:sz w:val="28"/>
          <w:szCs w:val="28"/>
        </w:rPr>
        <w:t xml:space="preserve">LIGHT-EMITTING </w:t>
      </w:r>
      <w:r>
        <w:rPr>
          <w:rFonts w:eastAsia="Times New Roman" w:cs="Times New Roman" w:ascii="Times New Roman" w:hAnsi="Times New Roman"/>
          <w:b/>
          <w:bCs/>
          <w:i/>
          <w:iCs/>
          <w:color w:val="000000"/>
          <w:sz w:val="28"/>
          <w:szCs w:val="28"/>
        </w:rPr>
        <w:t>DIODE</w:t>
      </w:r>
      <w:r>
        <w:rPr>
          <w:rFonts w:eastAsia="Times New Roman" w:cs="Times New Roman" w:ascii="Times New Roman" w:hAnsi="Times New Roman"/>
          <w:color w:val="000000"/>
          <w:sz w:val="28"/>
          <w:szCs w:val="28"/>
        </w:rPr>
        <w:t xml:space="preserve"> AND MASSAGE DEVICE FOR DELIVERING FOCUSED LIGHT FOR VAGINAL REJUVENATION </w:t>
        <w:b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Abstract</w:t>
      </w:r>
    </w:p>
    <w:p>
      <w:pPr>
        <w:pStyle w:val="Normal"/>
        <w:spacing w:lineRule="auto" w:line="240" w:beforeAutospacing="1" w:afterAutospacing="1"/>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8"/>
          <w:szCs w:val="28"/>
        </w:rPr>
        <w:t xml:space="preserve">A rejuvenation and massage device is provided for treating mucosa tissue, such as vaginal tissue, affected by Vaginal Relaxation Syndrome (VRS) or other conditions, through vibration, thermal loading, and light emittance for a duration of time. In one embodiment, the device is an insertable device that includes Low-Level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Light (LLLT) therapy to treat the vaginal tissue. The light emittance by one or more light emitters is in a range sufficient to provide therapeutic effects through light radiation. To enhance the therapeutic effects of light radiation provided by the device, the device is configured to provide increased energy density into target tissue of vaginal muscles though a light configuration component (e.g., a focusing component, such as a concave lens assembly, a convex assembly, a pre-lensed light emitter or other focusing optical mechanism) associated with the light emitter that concentrates the light emitted from the light emitter. </w:t>
      </w:r>
    </w:p>
    <w:p>
      <w:pPr>
        <w:pStyle w:val="Normal"/>
        <w:jc w:val="both"/>
        <w:rPr>
          <w:sz w:val="28"/>
          <w:szCs w:val="28"/>
        </w:rPr>
      </w:pPr>
      <w:r>
        <w:rPr>
          <w:rFonts w:cs="Times New Roman" w:ascii="Times New Roman" w:hAnsi="Times New Roman"/>
          <w:b/>
          <w:sz w:val="28"/>
          <w:szCs w:val="28"/>
          <w:lang w:val="ru-RU"/>
        </w:rPr>
        <w:t>ПРИЛОЖЕНИЕ 9</w:t>
      </w:r>
    </w:p>
    <w:tbl>
      <w:tblPr>
        <w:tblW w:w="5000" w:type="pct"/>
        <w:jc w:val="left"/>
        <w:tblInd w:w="0" w:type="dxa"/>
        <w:tblCellMar>
          <w:top w:w="15" w:type="dxa"/>
          <w:left w:w="15" w:type="dxa"/>
          <w:bottom w:w="15" w:type="dxa"/>
          <w:right w:w="15" w:type="dxa"/>
        </w:tblCellMar>
        <w:tblLook w:val="04a0" w:noVBand="1" w:noHBand="0" w:lastColumn="0" w:firstColumn="1" w:lastRow="0" w:firstRow="1"/>
      </w:tblPr>
      <w:tblGrid>
        <w:gridCol w:w="4679"/>
        <w:gridCol w:w="4680"/>
      </w:tblGrid>
      <w:tr>
        <w:trPr/>
        <w:tc>
          <w:tcPr>
            <w:tcW w:w="4679" w:type="dxa"/>
            <w:tcBorders/>
            <w:shd w:fill="auto" w:val="clear"/>
            <w:vAlign w:val="center"/>
          </w:tcPr>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
                <w:bCs/>
                <w:sz w:val="28"/>
                <w:szCs w:val="28"/>
              </w:rPr>
              <w:t>United States Patent Application</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
                <w:bCs/>
                <w:sz w:val="28"/>
                <w:szCs w:val="28"/>
              </w:rPr>
              <w:t xml:space="preserve">20190062222 </w:t>
            </w:r>
          </w:p>
        </w:tc>
      </w:tr>
      <w:tr>
        <w:trPr/>
        <w:tc>
          <w:tcPr>
            <w:tcW w:w="4679" w:type="dxa"/>
            <w:tcBorders/>
            <w:shd w:fill="auto" w:val="clear"/>
          </w:tcPr>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
                <w:bCs/>
                <w:sz w:val="28"/>
                <w:szCs w:val="28"/>
              </w:rPr>
              <w:t>Kind Code</w:t>
            </w:r>
            <w:r>
              <w:rPr>
                <w:rFonts w:eastAsia="Times New Roman" w:cs="Times New Roman" w:ascii="Times New Roman" w:hAnsi="Times New Roman"/>
                <w:sz w:val="28"/>
                <w:szCs w:val="28"/>
              </w:rPr>
              <w:t xml:space="preserve"> </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
                <w:bCs/>
                <w:sz w:val="28"/>
                <w:szCs w:val="28"/>
              </w:rPr>
              <w:t xml:space="preserve">A1 </w:t>
            </w:r>
          </w:p>
        </w:tc>
      </w:tr>
      <w:tr>
        <w:trPr/>
        <w:tc>
          <w:tcPr>
            <w:tcW w:w="4679" w:type="dxa"/>
            <w:tcBorders/>
            <w:shd w:fill="auto" w:val="clear"/>
            <w:vAlign w:val="center"/>
          </w:tcPr>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
                <w:bCs/>
                <w:sz w:val="28"/>
                <w:szCs w:val="28"/>
              </w:rPr>
              <w:t>PEGNA; Joseph.   et al.</w:t>
            </w:r>
            <w:r>
              <w:rPr>
                <w:rFonts w:eastAsia="Times New Roman" w:cs="Times New Roman" w:ascii="Times New Roman" w:hAnsi="Times New Roman"/>
                <w:sz w:val="28"/>
                <w:szCs w:val="28"/>
              </w:rPr>
              <w:t xml:space="preserve"> </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
                <w:bCs/>
                <w:sz w:val="28"/>
                <w:szCs w:val="28"/>
              </w:rPr>
              <w:t xml:space="preserve">February 28, 2019 </w:t>
            </w:r>
          </w:p>
        </w:tc>
      </w:tr>
    </w:tbl>
    <w:p>
      <w:pPr>
        <w:pStyle w:val="Normal"/>
        <w:spacing w:lineRule="auto" w:line="240" w:before="0" w:after="0"/>
        <w:jc w:val="both"/>
        <w:rPr>
          <w:rFonts w:ascii="Times New Roman" w:hAnsi="Times New Roman" w:eastAsia="Times New Roman" w:cs="Times New Roman"/>
          <w:sz w:val="24"/>
          <w:szCs w:val="24"/>
        </w:rPr>
      </w:pPr>
      <w:r>
        <w:rPr/>
        <mc:AlternateContent>
          <mc:Choice Requires="wps">
            <w:drawing>
              <wp:inline distT="0" distB="0" distL="0" distR="0">
                <wp:extent cx="1905" cy="20320"/>
                <wp:effectExtent l="0" t="0" r="0" b="0"/>
                <wp:docPr id="18" name=""/>
                <a:graphic xmlns:a="http://schemas.openxmlformats.org/drawingml/2006/main">
                  <a:graphicData uri="http://schemas.microsoft.com/office/word/2010/wordprocessingShape">
                    <wps:wsp>
                      <wps:cNvSpPr/>
                      <wps:spPr>
                        <a:xfrm>
                          <a:off x="0" y="0"/>
                          <a:ext cx="1440" cy="19800"/>
                        </a:xfrm>
                        <a:prstGeom prst="rect">
                          <a:avLst/>
                        </a:prstGeom>
                        <a:solidFill>
                          <a:srgbClr val="a0a0a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a0a0a0" stroked="f" style="position:absolute;margin-left:0pt;margin-top:-1.6pt;width:0.05pt;height:1.5pt;mso-position-vertical:top">
                <w10:wrap type="none"/>
                <v:fill o:detectmouseclick="t" type="solid" color2="#5f5f5f"/>
                <v:stroke color="#3465a4" joinstyle="round" endcap="flat"/>
              </v:rect>
            </w:pict>
          </mc:Fallback>
        </mc:AlternateContent>
      </w:r>
    </w:p>
    <w:p>
      <w:pPr>
        <w:pStyle w:val="Normal"/>
        <w:spacing w:lineRule="auto" w:line="240" w:before="0" w:after="240"/>
        <w:jc w:val="left"/>
        <w:rPr>
          <w:sz w:val="28"/>
          <w:szCs w:val="28"/>
        </w:rPr>
      </w:pPr>
      <w:r>
        <w:rPr>
          <w:rFonts w:eastAsia="Times New Roman" w:cs="Times New Roman" w:ascii="Times New Roman" w:hAnsi="Times New Roman"/>
          <w:sz w:val="28"/>
          <w:szCs w:val="28"/>
        </w:rPr>
        <w:t xml:space="preserve">HIGH STRENGTH CERAMIC FIBERS AND METHODS OF FABRICATION </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
          <w:bCs/>
          <w:sz w:val="28"/>
          <w:szCs w:val="28"/>
        </w:rPr>
        <w:t>Abstract</w:t>
      </w:r>
    </w:p>
    <w:p>
      <w:pPr>
        <w:pStyle w:val="Normal"/>
        <w:spacing w:lineRule="auto" w:line="240" w:beforeAutospacing="1" w:afterAutospacing="1"/>
        <w:jc w:val="both"/>
        <w:rPr>
          <w:rFonts w:ascii="Times New Roman" w:hAnsi="Times New Roman" w:eastAsia="Times New Roman" w:cs="Times New Roman"/>
          <w:sz w:val="24"/>
          <w:szCs w:val="24"/>
        </w:rPr>
      </w:pPr>
      <w:r>
        <w:rPr>
          <w:rFonts w:eastAsia="Times New Roman" w:cs="Times New Roman" w:ascii="Times New Roman" w:hAnsi="Times New Roman"/>
          <w:sz w:val="28"/>
          <w:szCs w:val="28"/>
        </w:rPr>
        <w:t xml:space="preserve">A method and apparatus for forming a plurality of fibers from (e.g., CVD) precursors, including a reactor adapted to grow a plurality of individual fibers; and a plurality of independently controllable lasers, each </w:t>
      </w:r>
      <w:r>
        <w:rPr>
          <w:rFonts w:eastAsia="Times New Roman" w:cs="Times New Roman" w:ascii="Times New Roman" w:hAnsi="Times New Roman"/>
          <w:b/>
          <w:bCs/>
          <w:i/>
          <w:iCs/>
          <w:sz w:val="28"/>
          <w:szCs w:val="28"/>
        </w:rPr>
        <w:t>laser</w:t>
      </w:r>
      <w:r>
        <w:rPr>
          <w:rFonts w:eastAsia="Times New Roman" w:cs="Times New Roman" w:ascii="Times New Roman" w:hAnsi="Times New Roman"/>
          <w:sz w:val="28"/>
          <w:szCs w:val="28"/>
        </w:rPr>
        <w:t xml:space="preserve"> of the plurality of lasers growing a respective fiber. A high performance fiber (HPF) structure, including a plurality of fibers arranged in the structure; a matrix disposed between the fibers; wherein a multilayer coating is provided along the surfaces of at least some of the fibers with an inner layer region having a sheet-like strength; and an outer layer region, having a particle-like strength, such that any cracks propagating toward the outer layer from the matrix propagate along the outer layer and back into the matrix, thereby preventing the cracks from approaching the fibers. A method of forming an interphase in a ceramic matrix </w:t>
      </w:r>
      <w:r>
        <w:rPr>
          <w:rFonts w:eastAsia="Times New Roman" w:cs="Times New Roman" w:ascii="Times New Roman" w:hAnsi="Times New Roman"/>
          <w:b/>
          <w:bCs/>
          <w:i/>
          <w:iCs/>
          <w:sz w:val="28"/>
          <w:szCs w:val="28"/>
        </w:rPr>
        <w:t>composite</w:t>
      </w:r>
      <w:r>
        <w:rPr>
          <w:rFonts w:eastAsia="Times New Roman" w:cs="Times New Roman" w:ascii="Times New Roman" w:hAnsi="Times New Roman"/>
          <w:sz w:val="28"/>
          <w:szCs w:val="28"/>
        </w:rPr>
        <w:t xml:space="preserve"> material having a plurality of SiC fibers, which maximizes toughness by minimizing fiber to fiber bridging, including arranging a plurality of SiC fibers into a preform; selectively removing (e.g., etching) silicon out of the surface of the fibers resulting in a porous carbon layer on the fibers; and replacing the porous carbon layer with an interphase layer (e.g., Boron Nitride), which coats the fibers to thereby minimize fiber to fiber bridging in the preform. </w:t>
      </w:r>
    </w:p>
    <w:p>
      <w:pPr>
        <w:pStyle w:val="Normal"/>
        <w:jc w:val="both"/>
        <w:rPr>
          <w:rFonts w:ascii="Times New Roman" w:hAnsi="Times New Roman" w:cs="Times New Roman"/>
          <w:b/>
          <w:b/>
          <w:lang w:val="ru-RU"/>
        </w:rPr>
      </w:pPr>
      <w:r>
        <w:rPr>
          <w:rFonts w:cs="Times New Roman" w:ascii="Times New Roman" w:hAnsi="Times New Roman"/>
          <w:b/>
          <w:lang w:val="ru-RU"/>
        </w:rPr>
      </w:r>
      <w:r>
        <w:br w:type="page"/>
      </w:r>
    </w:p>
    <w:p>
      <w:pPr>
        <w:pStyle w:val="Normal"/>
        <w:jc w:val="both"/>
        <w:rPr>
          <w:sz w:val="28"/>
          <w:szCs w:val="28"/>
        </w:rPr>
      </w:pPr>
      <w:r>
        <w:rPr>
          <w:rFonts w:cs="Times New Roman" w:ascii="Times New Roman" w:hAnsi="Times New Roman"/>
          <w:b/>
          <w:sz w:val="28"/>
          <w:szCs w:val="28"/>
          <w:lang w:val="ru-RU"/>
        </w:rPr>
        <w:t>ПРИЛОЖЕНИЕ 10</w:t>
      </w:r>
    </w:p>
    <w:tbl>
      <w:tblPr>
        <w:tblW w:w="5000" w:type="pct"/>
        <w:jc w:val="left"/>
        <w:tblInd w:w="0" w:type="dxa"/>
        <w:tblCellMar>
          <w:top w:w="15" w:type="dxa"/>
          <w:left w:w="15" w:type="dxa"/>
          <w:bottom w:w="15" w:type="dxa"/>
          <w:right w:w="15" w:type="dxa"/>
        </w:tblCellMar>
        <w:tblLook w:val="04a0" w:noVBand="1" w:noHBand="0" w:lastColumn="0" w:firstColumn="1" w:lastRow="0" w:firstRow="1"/>
      </w:tblPr>
      <w:tblGrid>
        <w:gridCol w:w="4679"/>
        <w:gridCol w:w="4680"/>
      </w:tblGrid>
      <w:tr>
        <w:trPr/>
        <w:tc>
          <w:tcPr>
            <w:tcW w:w="4679"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United States Patent Application</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 xml:space="preserve">20190049676 </w:t>
            </w:r>
          </w:p>
        </w:tc>
      </w:tr>
      <w:tr>
        <w:trPr/>
        <w:tc>
          <w:tcPr>
            <w:tcW w:w="4679" w:type="dxa"/>
            <w:tcBorders/>
            <w:shd w:fill="auto" w:val="clea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Kind Code</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 xml:space="preserve">A1 </w:t>
            </w:r>
          </w:p>
        </w:tc>
      </w:tr>
      <w:tr>
        <w:trPr/>
        <w:tc>
          <w:tcPr>
            <w:tcW w:w="4679"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 xml:space="preserve">Kasai; Yohei </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 xml:space="preserve">February 14, 2019 </w:t>
            </w:r>
          </w:p>
        </w:tc>
      </w:tr>
    </w:tbl>
    <w:p>
      <w:pPr>
        <w:pStyle w:val="Normal"/>
        <w:spacing w:lineRule="auto" w:line="240" w:before="0" w:after="0"/>
        <w:jc w:val="both"/>
        <w:rPr>
          <w:rFonts w:ascii="Times New Roman" w:hAnsi="Times New Roman" w:eastAsia="Times New Roman" w:cs="Times New Roman"/>
          <w:sz w:val="24"/>
          <w:szCs w:val="24"/>
        </w:rPr>
      </w:pPr>
      <w:r>
        <w:rPr/>
        <mc:AlternateContent>
          <mc:Choice Requires="wps">
            <w:drawing>
              <wp:inline distT="0" distB="0" distL="0" distR="0">
                <wp:extent cx="1905" cy="20320"/>
                <wp:effectExtent l="0" t="0" r="0" b="0"/>
                <wp:docPr id="19" name=""/>
                <a:graphic xmlns:a="http://schemas.openxmlformats.org/drawingml/2006/main">
                  <a:graphicData uri="http://schemas.microsoft.com/office/word/2010/wordprocessingShape">
                    <wps:wsp>
                      <wps:cNvSpPr/>
                      <wps:spPr>
                        <a:xfrm>
                          <a:off x="0" y="0"/>
                          <a:ext cx="1440" cy="19800"/>
                        </a:xfrm>
                        <a:prstGeom prst="rect">
                          <a:avLst/>
                        </a:prstGeom>
                        <a:solidFill>
                          <a:srgbClr val="00000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black" stroked="f" style="position:absolute;margin-left:0pt;margin-top:-1.6pt;width:0.05pt;height:1.5pt;mso-position-vertical:top">
                <w10:wrap type="none"/>
                <v:fill o:detectmouseclick="t" type="solid" color2="white"/>
                <v:stroke color="#3465a4" joinstyle="round" endcap="flat"/>
              </v:rect>
            </w:pict>
          </mc:Fallback>
        </mc:AlternateContent>
      </w:r>
    </w:p>
    <w:p>
      <w:pPr>
        <w:pStyle w:val="Normal"/>
        <w:spacing w:lineRule="auto" w:line="240" w:before="0" w:after="0"/>
        <w:jc w:val="left"/>
        <w:rPr>
          <w:sz w:val="28"/>
          <w:szCs w:val="28"/>
        </w:rPr>
      </w:pPr>
      <w:r>
        <w:rPr>
          <w:rFonts w:eastAsia="Times New Roman" w:cs="Times New Roman" w:ascii="Times New Roman" w:hAnsi="Times New Roman"/>
          <w:color w:val="000000"/>
          <w:sz w:val="28"/>
          <w:szCs w:val="28"/>
        </w:rPr>
        <w:t xml:space="preserve">LIGHT GUIDE DEVICE, LIGHT GUIDE METHOD, AND LD </w:t>
      </w:r>
      <w:r>
        <w:rPr>
          <w:rFonts w:eastAsia="Times New Roman" w:cs="Times New Roman" w:ascii="Times New Roman" w:hAnsi="Times New Roman"/>
          <w:b/>
          <w:bCs/>
          <w:i/>
          <w:iCs/>
          <w:color w:val="000000"/>
          <w:sz w:val="28"/>
          <w:szCs w:val="28"/>
        </w:rPr>
        <w:t>MODULE</w:t>
      </w:r>
      <w:r>
        <w:rPr>
          <w:rFonts w:eastAsia="Times New Roman" w:cs="Times New Roman" w:ascii="Times New Roman" w:hAnsi="Times New Roman"/>
          <w:color w:val="000000"/>
          <w:sz w:val="28"/>
          <w:szCs w:val="28"/>
        </w:rPr>
        <w:t xml:space="preserve"> </w:t>
        <w:b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Abstract</w:t>
      </w:r>
    </w:p>
    <w:p>
      <w:pPr>
        <w:pStyle w:val="Normal"/>
        <w:spacing w:lineRule="auto" w:line="240" w:beforeAutospacing="1" w:afterAutospacing="1"/>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8"/>
          <w:szCs w:val="28"/>
        </w:rPr>
        <w:t xml:space="preserve">To increase the reliability of an LD </w:t>
      </w:r>
      <w:r>
        <w:rPr>
          <w:rFonts w:eastAsia="Times New Roman" w:cs="Times New Roman" w:ascii="Times New Roman" w:hAnsi="Times New Roman"/>
          <w:b/>
          <w:bCs/>
          <w:i/>
          <w:iCs/>
          <w:color w:val="000000"/>
          <w:sz w:val="28"/>
          <w:szCs w:val="28"/>
        </w:rPr>
        <w:t>module</w:t>
      </w:r>
      <w:r>
        <w:rPr>
          <w:rFonts w:eastAsia="Times New Roman" w:cs="Times New Roman" w:ascii="Times New Roman" w:hAnsi="Times New Roman"/>
          <w:color w:val="000000"/>
          <w:sz w:val="28"/>
          <w:szCs w:val="28"/>
        </w:rPr>
        <w:t xml:space="preserve"> without decreasing the efficiency of coupling between the </w:t>
      </w:r>
      <w:r>
        <w:rPr>
          <w:rFonts w:eastAsia="Times New Roman" w:cs="Times New Roman" w:ascii="Times New Roman" w:hAnsi="Times New Roman"/>
          <w:b/>
          <w:bCs/>
          <w:i/>
          <w:iCs/>
          <w:color w:val="000000"/>
          <w:sz w:val="28"/>
          <w:szCs w:val="28"/>
        </w:rPr>
        <w:t>laser diode</w:t>
      </w:r>
      <w:r>
        <w:rPr>
          <w:rFonts w:eastAsia="Times New Roman" w:cs="Times New Roman" w:ascii="Times New Roman" w:hAnsi="Times New Roman"/>
          <w:color w:val="000000"/>
          <w:sz w:val="28"/>
          <w:szCs w:val="28"/>
        </w:rPr>
        <w:t xml:space="preserve"> and the optical fiber, an LD </w:t>
      </w:r>
      <w:r>
        <w:rPr>
          <w:rFonts w:eastAsia="Times New Roman" w:cs="Times New Roman" w:ascii="Times New Roman" w:hAnsi="Times New Roman"/>
          <w:b/>
          <w:bCs/>
          <w:i/>
          <w:iCs/>
          <w:color w:val="000000"/>
          <w:sz w:val="28"/>
          <w:szCs w:val="28"/>
        </w:rPr>
        <w:t>module</w:t>
      </w:r>
      <w:r>
        <w:rPr>
          <w:rFonts w:eastAsia="Times New Roman" w:cs="Times New Roman" w:ascii="Times New Roman" w:hAnsi="Times New Roman"/>
          <w:color w:val="000000"/>
          <w:sz w:val="28"/>
          <w:szCs w:val="28"/>
        </w:rPr>
        <w:t xml:space="preserve"> (1) includes a light-guiding device mounted therein that includes (i) a dividing optical system (DM) configured to divide a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beam so as to generate a partial beam group and (ii) a compositing optical system (RM1, RM2, PRE, PBC) configured to </w:t>
      </w:r>
      <w:r>
        <w:rPr>
          <w:rFonts w:eastAsia="Times New Roman" w:cs="Times New Roman" w:ascii="Times New Roman" w:hAnsi="Times New Roman"/>
          <w:b/>
          <w:bCs/>
          <w:i/>
          <w:iCs/>
          <w:color w:val="000000"/>
          <w:sz w:val="28"/>
          <w:szCs w:val="28"/>
        </w:rPr>
        <w:t>composite</w:t>
      </w:r>
      <w:r>
        <w:rPr>
          <w:rFonts w:eastAsia="Times New Roman" w:cs="Times New Roman" w:ascii="Times New Roman" w:hAnsi="Times New Roman"/>
          <w:color w:val="000000"/>
          <w:sz w:val="28"/>
          <w:szCs w:val="28"/>
        </w:rPr>
        <w:t xml:space="preserve"> the partial beam group so as to generate a partial beam bundle including a plurality of partial beams each having an S axis parallel to a particular spatial axis. </w:t>
      </w:r>
    </w:p>
    <w:p>
      <w:pPr>
        <w:pStyle w:val="Normal"/>
        <w:jc w:val="both"/>
        <w:rPr>
          <w:sz w:val="28"/>
          <w:szCs w:val="28"/>
        </w:rPr>
      </w:pPr>
      <w:r>
        <w:rPr>
          <w:rFonts w:cs="Times New Roman" w:ascii="Times New Roman" w:hAnsi="Times New Roman"/>
          <w:b/>
          <w:sz w:val="28"/>
          <w:szCs w:val="28"/>
          <w:lang w:val="ru-RU"/>
        </w:rPr>
        <w:t>ПРИЛОЖЕНИЕ 11</w:t>
      </w:r>
    </w:p>
    <w:tbl>
      <w:tblPr>
        <w:tblW w:w="5000" w:type="pct"/>
        <w:jc w:val="left"/>
        <w:tblInd w:w="0" w:type="dxa"/>
        <w:tblCellMar>
          <w:top w:w="15" w:type="dxa"/>
          <w:left w:w="15" w:type="dxa"/>
          <w:bottom w:w="15" w:type="dxa"/>
          <w:right w:w="15" w:type="dxa"/>
        </w:tblCellMar>
        <w:tblLook w:val="04a0" w:noVBand="1" w:noHBand="0" w:lastColumn="0" w:firstColumn="1" w:lastRow="0" w:firstRow="1"/>
      </w:tblPr>
      <w:tblGrid>
        <w:gridCol w:w="4679"/>
        <w:gridCol w:w="4680"/>
      </w:tblGrid>
      <w:tr>
        <w:trPr/>
        <w:tc>
          <w:tcPr>
            <w:tcW w:w="4679"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United States Patent Application</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 xml:space="preserve">20190020178 </w:t>
            </w:r>
          </w:p>
        </w:tc>
      </w:tr>
      <w:tr>
        <w:trPr/>
        <w:tc>
          <w:tcPr>
            <w:tcW w:w="4679" w:type="dxa"/>
            <w:tcBorders/>
            <w:shd w:fill="auto" w:val="clea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Kind Code</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 xml:space="preserve">A1 </w:t>
            </w:r>
          </w:p>
        </w:tc>
      </w:tr>
      <w:tr>
        <w:trPr/>
        <w:tc>
          <w:tcPr>
            <w:tcW w:w="4679"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OGURI; Atsushi.   et al.</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 xml:space="preserve">January 17, 2019 </w:t>
            </w:r>
          </w:p>
        </w:tc>
      </w:tr>
    </w:tbl>
    <w:p>
      <w:pPr>
        <w:pStyle w:val="Normal"/>
        <w:spacing w:lineRule="auto" w:line="240" w:before="0" w:after="0"/>
        <w:jc w:val="both"/>
        <w:rPr>
          <w:rFonts w:ascii="Times New Roman" w:hAnsi="Times New Roman" w:eastAsia="Times New Roman" w:cs="Times New Roman"/>
          <w:sz w:val="24"/>
          <w:szCs w:val="24"/>
        </w:rPr>
      </w:pPr>
      <w:r>
        <w:rPr/>
        <mc:AlternateContent>
          <mc:Choice Requires="wps">
            <w:drawing>
              <wp:inline distT="0" distB="0" distL="0" distR="0">
                <wp:extent cx="1905" cy="20320"/>
                <wp:effectExtent l="0" t="0" r="0" b="0"/>
                <wp:docPr id="20" name=""/>
                <a:graphic xmlns:a="http://schemas.openxmlformats.org/drawingml/2006/main">
                  <a:graphicData uri="http://schemas.microsoft.com/office/word/2010/wordprocessingShape">
                    <wps:wsp>
                      <wps:cNvSpPr/>
                      <wps:spPr>
                        <a:xfrm>
                          <a:off x="0" y="0"/>
                          <a:ext cx="1440" cy="19800"/>
                        </a:xfrm>
                        <a:prstGeom prst="rect">
                          <a:avLst/>
                        </a:prstGeom>
                        <a:solidFill>
                          <a:srgbClr val="00000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black" stroked="f" style="position:absolute;margin-left:0pt;margin-top:-1.6pt;width:0.05pt;height:1.5pt;mso-position-vertical:top">
                <w10:wrap type="none"/>
                <v:fill o:detectmouseclick="t" type="solid" color2="white"/>
                <v:stroke color="#3465a4" joinstyle="round" endcap="flat"/>
              </v:rect>
            </w:pict>
          </mc:Fallback>
        </mc:AlternateContent>
      </w:r>
    </w:p>
    <w:p>
      <w:pPr>
        <w:pStyle w:val="Normal"/>
        <w:spacing w:lineRule="auto" w:line="240" w:before="0" w:after="0"/>
        <w:jc w:val="left"/>
        <w:rPr>
          <w:sz w:val="28"/>
          <w:szCs w:val="28"/>
        </w:rPr>
      </w:pPr>
      <w:r>
        <w:rPr>
          <w:rFonts w:eastAsia="Times New Roman" w:cs="Times New Roman" w:ascii="Times New Roman" w:hAnsi="Times New Roman"/>
          <w:color w:val="000000"/>
          <w:sz w:val="28"/>
          <w:szCs w:val="28"/>
        </w:rPr>
        <w:t xml:space="preserve">LASER APPARATUS </w:t>
        <w:br/>
        <w:br/>
      </w:r>
      <w:r>
        <w:rPr>
          <w:rFonts w:eastAsia="Times New Roman" w:cs="Times New Roman" w:ascii="Times New Roman" w:hAnsi="Times New Roman"/>
          <w:b/>
          <w:bCs/>
          <w:color w:val="000000"/>
          <w:sz w:val="28"/>
          <w:szCs w:val="28"/>
        </w:rPr>
        <w:t>Abstract</w:t>
      </w:r>
    </w:p>
    <w:p>
      <w:pPr>
        <w:pStyle w:val="Normal"/>
        <w:spacing w:lineRule="auto" w:line="240" w:beforeAutospacing="1" w:afterAutospacing="1"/>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8"/>
          <w:szCs w:val="28"/>
        </w:rPr>
        <w:t xml:space="preserve">A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apparatus includes light source elements outputting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beams; a wavelength-selecting element disposed in an optical path of each of the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beams and configured to cause light in a predetermined wavelength band to selectively transmit therethrough; and a partially transmissive-reflector that receives the light transmitted through the wavelength-selecting element, reflects a part of the input light toward the wavelength-selecting element, and causes its remainder to transmit therethrough. The wavelength-selecting element causes a part of the respective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beams output from the respective light source elements to selectively transmit therethrough, the partially transmissive-reflector reflects a part of the respective transmitted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beams, and the wavelength-selecting element causes a part of the respective reflected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beams to transmit to return to the light source elements, and each of the light source elements preferentially oscillates at a wavelength of the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beam that transmits through the wavelength-selecting element. </w:t>
      </w:r>
    </w:p>
    <w:p>
      <w:pPr>
        <w:pStyle w:val="Normal"/>
        <w:jc w:val="both"/>
        <w:rPr>
          <w:sz w:val="28"/>
          <w:szCs w:val="28"/>
        </w:rPr>
      </w:pPr>
      <w:r>
        <w:rPr>
          <w:rFonts w:cs="Times New Roman" w:ascii="Times New Roman" w:hAnsi="Times New Roman"/>
          <w:b/>
          <w:sz w:val="28"/>
          <w:szCs w:val="28"/>
          <w:lang w:val="ru-RU"/>
        </w:rPr>
        <w:t>ПРИЛОЖЕНИЕ 12</w:t>
      </w:r>
    </w:p>
    <w:tbl>
      <w:tblPr>
        <w:tblW w:w="5000" w:type="pct"/>
        <w:jc w:val="left"/>
        <w:tblInd w:w="0" w:type="dxa"/>
        <w:tblCellMar>
          <w:top w:w="15" w:type="dxa"/>
          <w:left w:w="15" w:type="dxa"/>
          <w:bottom w:w="15" w:type="dxa"/>
          <w:right w:w="15" w:type="dxa"/>
        </w:tblCellMar>
        <w:tblLook w:val="04a0" w:noVBand="1" w:noHBand="0" w:lastColumn="0" w:firstColumn="1" w:lastRow="0" w:firstRow="1"/>
      </w:tblPr>
      <w:tblGrid>
        <w:gridCol w:w="4679"/>
        <w:gridCol w:w="4680"/>
      </w:tblGrid>
      <w:tr>
        <w:trPr/>
        <w:tc>
          <w:tcPr>
            <w:tcW w:w="4679"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United States Patent Application</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 xml:space="preserve">20180188458 </w:t>
            </w:r>
          </w:p>
        </w:tc>
      </w:tr>
      <w:tr>
        <w:trPr/>
        <w:tc>
          <w:tcPr>
            <w:tcW w:w="4679" w:type="dxa"/>
            <w:tcBorders/>
            <w:shd w:fill="auto" w:val="clea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Kind Code</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 xml:space="preserve">A1 </w:t>
            </w:r>
          </w:p>
        </w:tc>
      </w:tr>
      <w:tr>
        <w:trPr/>
        <w:tc>
          <w:tcPr>
            <w:tcW w:w="4679"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LAW; Pi-Cheng.   et al.</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 xml:space="preserve">July 5, 2018 </w:t>
            </w:r>
          </w:p>
        </w:tc>
      </w:tr>
    </w:tbl>
    <w:p>
      <w:pPr>
        <w:pStyle w:val="Normal"/>
        <w:spacing w:lineRule="auto" w:line="240" w:before="0" w:after="0"/>
        <w:jc w:val="both"/>
        <w:rPr>
          <w:rFonts w:ascii="Times New Roman" w:hAnsi="Times New Roman" w:eastAsia="Times New Roman" w:cs="Times New Roman"/>
          <w:sz w:val="24"/>
          <w:szCs w:val="24"/>
        </w:rPr>
      </w:pPr>
      <w:r>
        <w:rPr/>
        <mc:AlternateContent>
          <mc:Choice Requires="wps">
            <w:drawing>
              <wp:inline distT="0" distB="0" distL="0" distR="0">
                <wp:extent cx="1905" cy="20320"/>
                <wp:effectExtent l="0" t="0" r="0" b="0"/>
                <wp:docPr id="21" name=""/>
                <a:graphic xmlns:a="http://schemas.openxmlformats.org/drawingml/2006/main">
                  <a:graphicData uri="http://schemas.microsoft.com/office/word/2010/wordprocessingShape">
                    <wps:wsp>
                      <wps:cNvSpPr/>
                      <wps:spPr>
                        <a:xfrm>
                          <a:off x="0" y="0"/>
                          <a:ext cx="1440" cy="19800"/>
                        </a:xfrm>
                        <a:prstGeom prst="rect">
                          <a:avLst/>
                        </a:prstGeom>
                        <a:solidFill>
                          <a:srgbClr val="00000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black" stroked="f" style="position:absolute;margin-left:0pt;margin-top:-1.6pt;width:0.05pt;height:1.5pt;mso-position-vertical:top">
                <w10:wrap type="none"/>
                <v:fill o:detectmouseclick="t" type="solid" color2="white"/>
                <v:stroke color="#3465a4" joinstyle="round" endcap="flat"/>
              </v:rect>
            </w:pict>
          </mc:Fallback>
        </mc:AlternateContent>
      </w:r>
    </w:p>
    <w:p>
      <w:pPr>
        <w:pStyle w:val="Normal"/>
        <w:spacing w:lineRule="auto" w:line="240" w:before="0" w:after="0"/>
        <w:jc w:val="left"/>
        <w:rPr>
          <w:sz w:val="28"/>
          <w:szCs w:val="28"/>
        </w:rPr>
      </w:pPr>
      <w:r>
        <w:rPr>
          <w:rFonts w:eastAsia="Times New Roman" w:cs="Times New Roman" w:ascii="Times New Roman" w:hAnsi="Times New Roman"/>
          <w:color w:val="000000"/>
          <w:sz w:val="28"/>
          <w:szCs w:val="28"/>
        </w:rPr>
        <w:t xml:space="preserve">OPTICAL COMMUNICATION </w:t>
      </w:r>
      <w:r>
        <w:rPr>
          <w:rFonts w:eastAsia="Times New Roman" w:cs="Times New Roman" w:ascii="Times New Roman" w:hAnsi="Times New Roman"/>
          <w:b/>
          <w:bCs/>
          <w:i/>
          <w:iCs/>
          <w:color w:val="000000"/>
          <w:sz w:val="28"/>
          <w:szCs w:val="28"/>
        </w:rPr>
        <w:t>MODULE</w:t>
      </w:r>
      <w:r>
        <w:rPr>
          <w:rFonts w:eastAsia="Times New Roman" w:cs="Times New Roman" w:ascii="Times New Roman" w:hAnsi="Times New Roman"/>
          <w:color w:val="000000"/>
          <w:sz w:val="28"/>
          <w:szCs w:val="28"/>
        </w:rPr>
        <w:t xml:space="preserve"> CONFIGURED FOR ENHANCING OPTICAL COUPLING EFFICIENCY </w:t>
        <w:br/>
        <w:br/>
      </w:r>
      <w:r>
        <w:rPr>
          <w:rFonts w:eastAsia="Times New Roman" w:cs="Times New Roman" w:ascii="Times New Roman" w:hAnsi="Times New Roman"/>
          <w:b/>
          <w:bCs/>
          <w:color w:val="000000"/>
          <w:sz w:val="28"/>
          <w:szCs w:val="28"/>
        </w:rPr>
        <w:t>Abstract</w:t>
      </w:r>
    </w:p>
    <w:p>
      <w:pPr>
        <w:pStyle w:val="Normal"/>
        <w:spacing w:lineRule="auto" w:line="240" w:before="0" w:after="0"/>
        <w:jc w:val="both"/>
        <w:rPr>
          <w:sz w:val="28"/>
          <w:szCs w:val="28"/>
        </w:rPr>
      </w:pPr>
      <w:r>
        <w:rPr>
          <w:rFonts w:eastAsia="Times New Roman" w:cs="Times New Roman" w:ascii="Times New Roman" w:hAnsi="Times New Roman"/>
          <w:color w:val="000000"/>
          <w:sz w:val="28"/>
          <w:szCs w:val="28"/>
        </w:rPr>
        <w:t xml:space="preserve">An optical communication </w:t>
      </w:r>
      <w:r>
        <w:rPr>
          <w:rFonts w:eastAsia="Times New Roman" w:cs="Times New Roman" w:ascii="Times New Roman" w:hAnsi="Times New Roman"/>
          <w:b/>
          <w:bCs/>
          <w:i/>
          <w:iCs/>
          <w:color w:val="000000"/>
          <w:sz w:val="28"/>
          <w:szCs w:val="28"/>
        </w:rPr>
        <w:t>module</w:t>
      </w:r>
      <w:r>
        <w:rPr>
          <w:rFonts w:eastAsia="Times New Roman" w:cs="Times New Roman" w:ascii="Times New Roman" w:hAnsi="Times New Roman"/>
          <w:color w:val="000000"/>
          <w:sz w:val="28"/>
          <w:szCs w:val="28"/>
        </w:rPr>
        <w:t xml:space="preserve"> configured for enhancing optical coupling efficiency, which includes an optical butt joint receptacle and a light emitting body provided on one side of the optical butt joint receptacle. The optical butt joint receptacle has a receptacle body and a through hole provided in the receptacle body for a dual-core optical fiber to extend through. The receptacle body has a light-receiving side and an optical fiber insertion groove corresponding respectively to two ends of the through hole. The light emitting body includes a housing, a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semiconductor provided in the housing, and an aperture provided in one side of the housing for aligning with the through hole so as that the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beam emitted by the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semiconductor is optically coupled to the dual-core optical fiber. The dual-core optical fiber has different core diameters and numerical apertures to enhance the coupling efficiency and reduce the coupling loss in between with the external optical fiber. </w:t>
      </w:r>
    </w:p>
    <w:p>
      <w:pPr>
        <w:pStyle w:val="Normal"/>
        <w:jc w:val="both"/>
        <w:rPr>
          <w:rFonts w:ascii="Times New Roman" w:hAnsi="Times New Roman" w:cs="Times New Roman"/>
          <w:b/>
          <w:b/>
          <w:lang w:val="ru-RU"/>
        </w:rPr>
      </w:pPr>
      <w:r>
        <w:rPr>
          <w:rFonts w:cs="Times New Roman" w:ascii="Times New Roman" w:hAnsi="Times New Roman"/>
          <w:b/>
          <w:lang w:val="ru-RU"/>
        </w:rPr>
      </w:r>
    </w:p>
    <w:p>
      <w:pPr>
        <w:pStyle w:val="Normal"/>
        <w:jc w:val="both"/>
        <w:rPr>
          <w:sz w:val="28"/>
          <w:szCs w:val="28"/>
        </w:rPr>
      </w:pPr>
      <w:r>
        <w:rPr>
          <w:rFonts w:cs="Times New Roman" w:ascii="Times New Roman" w:hAnsi="Times New Roman"/>
          <w:b/>
          <w:sz w:val="28"/>
          <w:szCs w:val="28"/>
          <w:lang w:val="ru-RU"/>
        </w:rPr>
        <w:t>ПРИЛОЖЕНИЕ 13</w:t>
      </w:r>
    </w:p>
    <w:tbl>
      <w:tblPr>
        <w:tblW w:w="5000" w:type="pct"/>
        <w:jc w:val="left"/>
        <w:tblInd w:w="0" w:type="dxa"/>
        <w:tblCellMar>
          <w:top w:w="15" w:type="dxa"/>
          <w:left w:w="15" w:type="dxa"/>
          <w:bottom w:w="15" w:type="dxa"/>
          <w:right w:w="15" w:type="dxa"/>
        </w:tblCellMar>
        <w:tblLook w:val="04a0" w:noVBand="1" w:noHBand="0" w:lastColumn="0" w:firstColumn="1" w:lastRow="0" w:firstRow="1"/>
      </w:tblPr>
      <w:tblGrid>
        <w:gridCol w:w="4679"/>
        <w:gridCol w:w="4680"/>
      </w:tblGrid>
      <w:tr>
        <w:trPr/>
        <w:tc>
          <w:tcPr>
            <w:tcW w:w="4679"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United States Patent Application</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 xml:space="preserve">20180138664 </w:t>
            </w:r>
          </w:p>
        </w:tc>
      </w:tr>
      <w:tr>
        <w:trPr/>
        <w:tc>
          <w:tcPr>
            <w:tcW w:w="4679" w:type="dxa"/>
            <w:tcBorders/>
            <w:shd w:fill="auto" w:val="clea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Kind Code</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 xml:space="preserve">A1 </w:t>
            </w:r>
          </w:p>
        </w:tc>
      </w:tr>
      <w:tr>
        <w:trPr/>
        <w:tc>
          <w:tcPr>
            <w:tcW w:w="4679"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HUELSEWEDE; Ralf.   et al.</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 xml:space="preserve">May 17, 2018 </w:t>
            </w:r>
          </w:p>
        </w:tc>
      </w:tr>
    </w:tbl>
    <w:p>
      <w:pPr>
        <w:pStyle w:val="Normal"/>
        <w:spacing w:lineRule="auto" w:line="240" w:before="0" w:after="0"/>
        <w:jc w:val="both"/>
        <w:rPr>
          <w:rFonts w:ascii="Times New Roman" w:hAnsi="Times New Roman" w:eastAsia="Times New Roman" w:cs="Times New Roman"/>
          <w:sz w:val="24"/>
          <w:szCs w:val="24"/>
        </w:rPr>
      </w:pPr>
      <w:r>
        <w:rPr/>
        <mc:AlternateContent>
          <mc:Choice Requires="wps">
            <w:drawing>
              <wp:inline distT="0" distB="0" distL="0" distR="0">
                <wp:extent cx="1905" cy="20320"/>
                <wp:effectExtent l="0" t="0" r="0" b="0"/>
                <wp:docPr id="22" name=""/>
                <a:graphic xmlns:a="http://schemas.openxmlformats.org/drawingml/2006/main">
                  <a:graphicData uri="http://schemas.microsoft.com/office/word/2010/wordprocessingShape">
                    <wps:wsp>
                      <wps:cNvSpPr/>
                      <wps:spPr>
                        <a:xfrm>
                          <a:off x="0" y="0"/>
                          <a:ext cx="1440" cy="19800"/>
                        </a:xfrm>
                        <a:prstGeom prst="rect">
                          <a:avLst/>
                        </a:prstGeom>
                        <a:solidFill>
                          <a:srgbClr val="00000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black" stroked="f" style="position:absolute;margin-left:0pt;margin-top:-1.6pt;width:0.05pt;height:1.5pt;mso-position-vertical:top">
                <w10:wrap type="none"/>
                <v:fill o:detectmouseclick="t" type="solid" color2="white"/>
                <v:stroke color="#3465a4" joinstyle="round" endcap="flat"/>
              </v:rect>
            </w:pict>
          </mc:Fallback>
        </mc:AlternateContent>
      </w:r>
    </w:p>
    <w:p>
      <w:pPr>
        <w:pStyle w:val="Normal"/>
        <w:spacing w:lineRule="auto" w:line="240" w:before="0" w:after="0"/>
        <w:jc w:val="left"/>
        <w:rPr>
          <w:sz w:val="28"/>
          <w:szCs w:val="28"/>
        </w:rPr>
      </w:pPr>
      <w:r>
        <w:rPr>
          <w:rFonts w:eastAsia="Times New Roman" w:cs="Times New Roman" w:ascii="Times New Roman" w:hAnsi="Times New Roman"/>
          <w:color w:val="000000"/>
          <w:sz w:val="28"/>
          <w:szCs w:val="28"/>
        </w:rPr>
        <w:t xml:space="preserve">METHOD FOR PRODUCING A </w:t>
      </w:r>
      <w:r>
        <w:rPr>
          <w:rFonts w:eastAsia="Times New Roman" w:cs="Times New Roman" w:ascii="Times New Roman" w:hAnsi="Times New Roman"/>
          <w:b/>
          <w:bCs/>
          <w:i/>
          <w:iCs/>
          <w:color w:val="000000"/>
          <w:sz w:val="28"/>
          <w:szCs w:val="28"/>
        </w:rPr>
        <w:t>DIODE</w:t>
      </w:r>
      <w:r>
        <w:rPr>
          <w:rFonts w:eastAsia="Times New Roman" w:cs="Times New Roman" w:ascii="Times New Roman" w:hAnsi="Times New Roman"/>
          <w:color w:val="000000"/>
          <w:sz w:val="28"/>
          <w:szCs w:val="28"/>
        </w:rPr>
        <w:t xml:space="preserve"> LASER AND </w:t>
      </w:r>
      <w:r>
        <w:rPr>
          <w:rFonts w:eastAsia="Times New Roman" w:cs="Times New Roman" w:ascii="Times New Roman" w:hAnsi="Times New Roman"/>
          <w:b/>
          <w:bCs/>
          <w:i/>
          <w:iCs/>
          <w:color w:val="000000"/>
          <w:sz w:val="28"/>
          <w:szCs w:val="28"/>
        </w:rPr>
        <w:t>DIODE</w:t>
      </w:r>
      <w:r>
        <w:rPr>
          <w:rFonts w:eastAsia="Times New Roman" w:cs="Times New Roman" w:ascii="Times New Roman" w:hAnsi="Times New Roman"/>
          <w:color w:val="000000"/>
          <w:sz w:val="28"/>
          <w:szCs w:val="28"/>
        </w:rPr>
        <w:t xml:space="preserve"> LASER </w:t>
        <w:br/>
      </w:r>
    </w:p>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Abstract</w:t>
      </w:r>
    </w:p>
    <w:p>
      <w:pPr>
        <w:pStyle w:val="Normal"/>
        <w:spacing w:lineRule="auto" w:line="240" w:before="0" w:after="0"/>
        <w:jc w:val="both"/>
        <w:rPr>
          <w:sz w:val="28"/>
          <w:szCs w:val="28"/>
        </w:rPr>
      </w:pPr>
      <w:r>
        <w:rPr>
          <w:rFonts w:eastAsia="Times New Roman" w:cs="Times New Roman" w:ascii="Times New Roman" w:hAnsi="Times New Roman"/>
          <w:color w:val="000000"/>
          <w:sz w:val="28"/>
          <w:szCs w:val="28"/>
        </w:rPr>
        <w:t xml:space="preserve">A method for the production of a </w:t>
      </w:r>
      <w:r>
        <w:rPr>
          <w:rFonts w:eastAsia="Times New Roman" w:cs="Times New Roman" w:ascii="Times New Roman" w:hAnsi="Times New Roman"/>
          <w:b/>
          <w:bCs/>
          <w:i/>
          <w:iCs/>
          <w:color w:val="000000"/>
          <w:sz w:val="28"/>
          <w:szCs w:val="28"/>
        </w:rPr>
        <w:t>diode laser having a laser</w:t>
      </w:r>
      <w:r>
        <w:rPr>
          <w:rFonts w:eastAsia="Times New Roman" w:cs="Times New Roman" w:ascii="Times New Roman" w:hAnsi="Times New Roman"/>
          <w:color w:val="000000"/>
          <w:sz w:val="28"/>
          <w:szCs w:val="28"/>
        </w:rPr>
        <w:t xml:space="preserve"> bar, wherein a metal layer having raised areas is used which is located between the n-side of the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bar and the cover. The metal layer can be plastically deformed during installation without volume compression in the solid physical state. As a result the </w:t>
      </w:r>
      <w:r>
        <w:rPr>
          <w:rFonts w:eastAsia="Times New Roman" w:cs="Times New Roman" w:ascii="Times New Roman" w:hAnsi="Times New Roman"/>
          <w:b/>
          <w:bCs/>
          <w:i/>
          <w:iCs/>
          <w:color w:val="000000"/>
          <w:sz w:val="28"/>
          <w:szCs w:val="28"/>
        </w:rPr>
        <w:t>laser module</w:t>
      </w:r>
      <w:r>
        <w:rPr>
          <w:rFonts w:eastAsia="Times New Roman" w:cs="Times New Roman" w:ascii="Times New Roman" w:hAnsi="Times New Roman"/>
          <w:color w:val="000000"/>
          <w:sz w:val="28"/>
          <w:szCs w:val="28"/>
        </w:rPr>
        <w:t xml:space="preserve"> can be reliably installed and a slight deviation (smile value) of the emitters from a centre line is achieved. </w:t>
      </w:r>
    </w:p>
    <w:p>
      <w:pPr>
        <w:pStyle w:val="Normal"/>
        <w:spacing w:lineRule="auto" w:line="240" w:before="0" w:after="0"/>
        <w:jc w:val="both"/>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jc w:val="both"/>
        <w:rPr>
          <w:sz w:val="28"/>
          <w:szCs w:val="28"/>
        </w:rPr>
      </w:pPr>
      <w:r>
        <w:rPr>
          <w:rFonts w:cs="Times New Roman" w:ascii="Times New Roman" w:hAnsi="Times New Roman"/>
          <w:b/>
          <w:sz w:val="28"/>
          <w:szCs w:val="28"/>
          <w:lang w:val="ru-RU"/>
        </w:rPr>
        <w:t>ПРИЛОЖЕНИЕ 14</w:t>
      </w:r>
    </w:p>
    <w:tbl>
      <w:tblPr>
        <w:tblW w:w="5000" w:type="pct"/>
        <w:jc w:val="left"/>
        <w:tblInd w:w="0" w:type="dxa"/>
        <w:tblCellMar>
          <w:top w:w="15" w:type="dxa"/>
          <w:left w:w="15" w:type="dxa"/>
          <w:bottom w:w="15" w:type="dxa"/>
          <w:right w:w="15" w:type="dxa"/>
        </w:tblCellMar>
        <w:tblLook w:val="04a0" w:noVBand="1" w:noHBand="0" w:lastColumn="0" w:firstColumn="1" w:lastRow="0" w:firstRow="1"/>
      </w:tblPr>
      <w:tblGrid>
        <w:gridCol w:w="4679"/>
        <w:gridCol w:w="4680"/>
      </w:tblGrid>
      <w:tr>
        <w:trPr/>
        <w:tc>
          <w:tcPr>
            <w:tcW w:w="4679"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United States Patent Application</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 xml:space="preserve">20180062348 </w:t>
            </w:r>
          </w:p>
        </w:tc>
      </w:tr>
      <w:tr>
        <w:trPr/>
        <w:tc>
          <w:tcPr>
            <w:tcW w:w="4679" w:type="dxa"/>
            <w:tcBorders/>
            <w:shd w:fill="auto" w:val="clea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Kind Code</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 xml:space="preserve">A1 </w:t>
            </w:r>
          </w:p>
        </w:tc>
      </w:tr>
      <w:tr>
        <w:trPr/>
        <w:tc>
          <w:tcPr>
            <w:tcW w:w="4679"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LEE; Won Tae.   et al.</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8"/>
                <w:szCs w:val="28"/>
              </w:rPr>
              <w:t xml:space="preserve">March 1, 2018 </w:t>
            </w:r>
          </w:p>
        </w:tc>
      </w:tr>
    </w:tbl>
    <w:p>
      <w:pPr>
        <w:pStyle w:val="Normal"/>
        <w:spacing w:lineRule="auto" w:line="240" w:before="0" w:after="0"/>
        <w:jc w:val="both"/>
        <w:rPr>
          <w:rFonts w:ascii="Times New Roman" w:hAnsi="Times New Roman" w:eastAsia="Times New Roman" w:cs="Times New Roman"/>
          <w:sz w:val="24"/>
          <w:szCs w:val="24"/>
        </w:rPr>
      </w:pPr>
      <w:r>
        <w:rPr/>
        <mc:AlternateContent>
          <mc:Choice Requires="wps">
            <w:drawing>
              <wp:inline distT="0" distB="0" distL="0" distR="0">
                <wp:extent cx="1905" cy="20320"/>
                <wp:effectExtent l="0" t="0" r="0" b="0"/>
                <wp:docPr id="23" name=""/>
                <a:graphic xmlns:a="http://schemas.openxmlformats.org/drawingml/2006/main">
                  <a:graphicData uri="http://schemas.microsoft.com/office/word/2010/wordprocessingShape">
                    <wps:wsp>
                      <wps:cNvSpPr/>
                      <wps:spPr>
                        <a:xfrm>
                          <a:off x="0" y="0"/>
                          <a:ext cx="1440" cy="19800"/>
                        </a:xfrm>
                        <a:prstGeom prst="rect">
                          <a:avLst/>
                        </a:prstGeom>
                        <a:solidFill>
                          <a:srgbClr val="00000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black" stroked="f" style="position:absolute;margin-left:0pt;margin-top:-1.6pt;width:0.05pt;height:1.5pt;mso-position-vertical:top">
                <w10:wrap type="none"/>
                <v:fill o:detectmouseclick="t" type="solid" color2="white"/>
                <v:stroke color="#3465a4" joinstyle="round" endcap="flat"/>
              </v:rect>
            </w:pict>
          </mc:Fallback>
        </mc:AlternateContent>
      </w:r>
    </w:p>
    <w:p>
      <w:pPr>
        <w:pStyle w:val="Normal"/>
        <w:spacing w:lineRule="auto" w:line="240" w:before="0" w:after="0"/>
        <w:jc w:val="left"/>
        <w:rPr>
          <w:sz w:val="28"/>
          <w:szCs w:val="28"/>
        </w:rPr>
      </w:pPr>
      <w:r>
        <w:rPr>
          <w:rFonts w:eastAsia="Times New Roman" w:cs="Times New Roman" w:ascii="Times New Roman" w:hAnsi="Times New Roman"/>
          <w:color w:val="000000"/>
          <w:sz w:val="28"/>
          <w:szCs w:val="28"/>
        </w:rPr>
        <w:t xml:space="preserve">HIGH-POWER LASER PACKAGING UTILIZING CARBON NANOTUBES </w:t>
        <w:br/>
        <w:br/>
      </w:r>
      <w:r>
        <w:rPr>
          <w:rFonts w:eastAsia="Times New Roman" w:cs="Times New Roman" w:ascii="Times New Roman" w:hAnsi="Times New Roman"/>
          <w:b/>
          <w:bCs/>
          <w:color w:val="000000"/>
          <w:sz w:val="28"/>
          <w:szCs w:val="28"/>
        </w:rPr>
        <w:t>Abstract</w:t>
      </w:r>
    </w:p>
    <w:p>
      <w:pPr>
        <w:pStyle w:val="Normal"/>
        <w:spacing w:lineRule="auto" w:line="240" w:before="0" w:after="0"/>
        <w:jc w:val="both"/>
        <w:rPr/>
      </w:pPr>
      <w:r>
        <w:rPr>
          <w:rFonts w:eastAsia="Times New Roman" w:cs="Times New Roman" w:ascii="Times New Roman" w:hAnsi="Times New Roman"/>
          <w:color w:val="000000"/>
          <w:sz w:val="28"/>
          <w:szCs w:val="28"/>
        </w:rPr>
        <w:t xml:space="preserve">In various embodiments,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devices include a thermal bonding layer featuring an array of carbon nanotubes and at least one metallic thermal bonding material.</w:t>
      </w:r>
    </w:p>
    <w:sectPr>
      <w:footerReference w:type="default" r:id="rId11"/>
      <w:type w:val="nextPage"/>
      <w:pgSz w:w="12240" w:h="15840"/>
      <w:pgMar w:left="1440" w:right="1440" w:header="0" w:top="1440" w:footer="72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563166260"/>
    </w:sdtPr>
    <w:sdtContent>
      <w:p>
        <w:pPr>
          <w:pStyle w:val="Footer"/>
          <w:jc w:val="center"/>
          <w:rPr/>
        </w:pPr>
        <w:r>
          <w:rPr/>
          <w:fldChar w:fldCharType="begin"/>
        </w:r>
        <w:r>
          <w:rPr/>
          <w:instrText> PAGE </w:instrText>
        </w:r>
        <w:r>
          <w:rPr/>
          <w:fldChar w:fldCharType="separate"/>
        </w:r>
        <w:r>
          <w:rPr/>
          <w:t>13</w:t>
        </w:r>
        <w:r>
          <w:rPr/>
          <w:fldChar w:fldCharType="end"/>
        </w:r>
      </w:p>
    </w:sdtContent>
  </w:sdt>
  <w:p>
    <w:pPr>
      <w:pStyle w:val="Footer"/>
      <w:rPr/>
    </w:pPr>
    <w:r>
      <w:rPr/>
    </w:r>
  </w:p>
</w:ftr>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US"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df15c8"/>
    <w:rPr/>
  </w:style>
  <w:style w:type="character" w:styleId="FooterChar" w:customStyle="1">
    <w:name w:val="Footer Char"/>
    <w:basedOn w:val="DefaultParagraphFont"/>
    <w:link w:val="Footer"/>
    <w:uiPriority w:val="99"/>
    <w:qFormat/>
    <w:rsid w:val="00df15c8"/>
    <w:rPr/>
  </w:style>
  <w:style w:type="character" w:styleId="ListLabel1">
    <w:name w:val="ListLabel 1"/>
    <w:qFormat/>
    <w:rPr>
      <w:rFonts w:ascii="Times New Roman" w:hAnsi="Times New Roman" w:cs="Times New Roman"/>
      <w:b/>
      <w:sz w:val="24"/>
    </w:rPr>
  </w:style>
  <w:style w:type="character" w:styleId="ListLabel2">
    <w:name w:val="ListLabel 2"/>
    <w:qFormat/>
    <w:rPr>
      <w:rFonts w:cs="Times New Roman"/>
    </w:rPr>
  </w:style>
  <w:style w:type="character" w:styleId="ListLabel3">
    <w:name w:val="ListLabel 3"/>
    <w:qFormat/>
    <w:rPr>
      <w:rFonts w:cs="Times New Roman"/>
    </w:rPr>
  </w:style>
  <w:style w:type="character" w:styleId="ListLabel4">
    <w:name w:val="ListLabel 4"/>
    <w:qFormat/>
    <w:rPr>
      <w:rFonts w:cs="Times New Roman"/>
    </w:rPr>
  </w:style>
  <w:style w:type="character" w:styleId="ListLabel5">
    <w:name w:val="ListLabel 5"/>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istParagraph">
    <w:name w:val="List Paragraph"/>
    <w:basedOn w:val="Normal"/>
    <w:uiPriority w:val="34"/>
    <w:qFormat/>
    <w:rsid w:val="00ec51d2"/>
    <w:pPr>
      <w:spacing w:before="0" w:after="160"/>
      <w:ind w:left="720" w:hanging="0"/>
      <w:contextualSpacing/>
    </w:pPr>
    <w:rPr/>
  </w:style>
  <w:style w:type="paragraph" w:styleId="Header">
    <w:name w:val="Header"/>
    <w:basedOn w:val="Normal"/>
    <w:link w:val="HeaderChar"/>
    <w:uiPriority w:val="99"/>
    <w:unhideWhenUsed/>
    <w:rsid w:val="00df15c8"/>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df15c8"/>
    <w:pPr>
      <w:tabs>
        <w:tab w:val="clear" w:pos="720"/>
        <w:tab w:val="center" w:pos="4680" w:leader="none"/>
        <w:tab w:val="right" w:pos="9360" w:leader="none"/>
      </w:tabs>
      <w:spacing w:lineRule="auto" w:line="240" w:before="0" w:after="0"/>
    </w:pPr>
    <w:rPr/>
  </w:style>
  <w:style w:type="paragraph" w:styleId="NormalWeb">
    <w:name w:val="Normal (Web)"/>
    <w:basedOn w:val="Normal"/>
    <w:uiPriority w:val="99"/>
    <w:semiHidden/>
    <w:unhideWhenUsed/>
    <w:qFormat/>
    <w:rsid w:val="007802dd"/>
    <w:pPr>
      <w:spacing w:lineRule="auto" w:line="240" w:beforeAutospacing="1" w:afterAutospacing="1"/>
    </w:pPr>
    <w:rPr>
      <w:rFonts w:ascii="Times New Roman" w:hAnsi="Times New Roman" w:eastAsia="Times New Roman" w:cs="Times New Roman"/>
      <w:sz w:val="24"/>
      <w:szCs w:val="24"/>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6.jpeg"/><Relationship Id="rId8" Type="http://schemas.openxmlformats.org/officeDocument/2006/relationships/image" Target="media/image7.jpeg"/><Relationship Id="rId9" Type="http://schemas.openxmlformats.org/officeDocument/2006/relationships/image" Target="media/image8.jpeg"/><Relationship Id="rId10" Type="http://schemas.openxmlformats.org/officeDocument/2006/relationships/image" Target="media/image9.jpeg"/><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1261</TotalTime>
  <Application>LibreOffice/6.2.3.2$Linux_X86_64 LibreOffice_project/20$Build-2</Application>
  <Pages>25</Pages>
  <Words>4644</Words>
  <Characters>30142</Characters>
  <CharactersWithSpaces>34744</CharactersWithSpaces>
  <Paragraphs>268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2019-05-19T19:58:00Z</dcterms:created>
  <dc:creator>David Livschitz</dc:creator>
  <dc:description/>
  <dc:language>en-US</dc:language>
  <cp:lastModifiedBy/>
  <dcterms:modified xsi:type="dcterms:W3CDTF">2019-06-02T08:48:50Z</dcterms:modified>
  <cp:revision>45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