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D59D667" w:rsidR="009D3C94" w:rsidRPr="00640E06" w:rsidRDefault="00640E06">
      <w:pPr>
        <w:spacing w:after="0" w:line="360" w:lineRule="auto"/>
        <w:ind w:firstLine="567"/>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sz w:val="32"/>
          <w:szCs w:val="32"/>
        </w:rPr>
        <w:t>THE PROCEDURE OF FILING A US PATENT APPLICATION</w:t>
      </w:r>
    </w:p>
    <w:p w14:paraId="00000002" w14:textId="77777777" w:rsidR="009D3C94" w:rsidRDefault="009D3C94">
      <w:pPr>
        <w:spacing w:after="0" w:line="360" w:lineRule="auto"/>
        <w:ind w:firstLine="567"/>
        <w:jc w:val="both"/>
        <w:rPr>
          <w:rFonts w:ascii="Times New Roman" w:eastAsia="Times New Roman" w:hAnsi="Times New Roman" w:cs="Times New Roman"/>
          <w:i/>
          <w:color w:val="000000"/>
          <w:sz w:val="28"/>
          <w:szCs w:val="28"/>
        </w:rPr>
      </w:pPr>
    </w:p>
    <w:p w14:paraId="00000003" w14:textId="77777777" w:rsidR="009D3C94" w:rsidRDefault="00000000">
      <w:pPr>
        <w:spacing w:after="0" w:line="360" w:lineRule="auto"/>
        <w:ind w:firstLine="567"/>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sz w:val="28"/>
          <w:szCs w:val="28"/>
        </w:rPr>
        <w:t>Ksenia Kaplieva</w:t>
      </w:r>
    </w:p>
    <w:p w14:paraId="00000004" w14:textId="77777777" w:rsidR="009D3C94" w:rsidRDefault="00000000">
      <w:pPr>
        <w:spacing w:after="0" w:line="360" w:lineRule="auto"/>
        <w:ind w:firstLine="567"/>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Bachelor of Science,</w:t>
      </w:r>
    </w:p>
    <w:p w14:paraId="00000005" w14:textId="77777777" w:rsidR="009D3C94" w:rsidRDefault="00000000">
      <w:pPr>
        <w:spacing w:after="0" w:line="360" w:lineRule="auto"/>
        <w:ind w:firstLine="567"/>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Drexel University, LeBow College of Business,</w:t>
      </w:r>
    </w:p>
    <w:p w14:paraId="00000006" w14:textId="77777777" w:rsidR="009D3C94" w:rsidRDefault="00000000">
      <w:pPr>
        <w:spacing w:after="0" w:line="360" w:lineRule="auto"/>
        <w:ind w:firstLine="567"/>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Philadelphia, USA.</w:t>
      </w:r>
    </w:p>
    <w:p w14:paraId="00000007" w14:textId="77777777" w:rsidR="009D3C94" w:rsidRDefault="009D3C94">
      <w:pPr>
        <w:spacing w:after="0" w:line="360" w:lineRule="auto"/>
        <w:ind w:firstLine="567"/>
        <w:jc w:val="both"/>
        <w:rPr>
          <w:rFonts w:ascii="Times New Roman" w:eastAsia="Times New Roman" w:hAnsi="Times New Roman" w:cs="Times New Roman"/>
          <w:color w:val="000000"/>
          <w:sz w:val="28"/>
          <w:szCs w:val="28"/>
        </w:rPr>
      </w:pPr>
    </w:p>
    <w:p w14:paraId="00000008" w14:textId="77777777" w:rsidR="009D3C94" w:rsidRDefault="00000000">
      <w:pPr>
        <w:spacing w:after="280" w:line="360" w:lineRule="auto"/>
        <w:ind w:firstLine="567"/>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sz w:val="24"/>
          <w:szCs w:val="24"/>
        </w:rPr>
        <w:t>Abstract</w:t>
      </w:r>
    </w:p>
    <w:p w14:paraId="43942999" w14:textId="77777777" w:rsidR="00640E06" w:rsidRPr="00640E06" w:rsidRDefault="00000000" w:rsidP="00640E06">
      <w:pPr>
        <w:pBdr>
          <w:top w:val="nil"/>
          <w:left w:val="nil"/>
          <w:bottom w:val="nil"/>
          <w:right w:val="nil"/>
          <w:between w:val="nil"/>
        </w:pBdr>
        <w:tabs>
          <w:tab w:val="left" w:pos="567"/>
        </w:tabs>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00640E06" w:rsidRPr="00640E06">
        <w:rPr>
          <w:rFonts w:ascii="Times New Roman" w:eastAsia="Times New Roman" w:hAnsi="Times New Roman" w:cs="Times New Roman"/>
          <w:color w:val="000000"/>
          <w:sz w:val="24"/>
          <w:szCs w:val="24"/>
        </w:rPr>
        <w:t>The use of TRIZ and ARIZ analytical tools in US patent applications, including those involving technical systems with elements of artificial intelligence and artificial neural networks, is an optimal approach when preparing application materials for an integrative patent.</w:t>
      </w:r>
    </w:p>
    <w:p w14:paraId="260CA920" w14:textId="77777777" w:rsidR="00640E06" w:rsidRPr="00640E06" w:rsidRDefault="00640E06" w:rsidP="00640E06">
      <w:pPr>
        <w:pBdr>
          <w:top w:val="nil"/>
          <w:left w:val="nil"/>
          <w:bottom w:val="nil"/>
          <w:right w:val="nil"/>
          <w:between w:val="nil"/>
        </w:pBdr>
        <w:tabs>
          <w:tab w:val="left" w:pos="567"/>
        </w:tabs>
        <w:spacing w:before="280" w:after="0" w:line="360" w:lineRule="auto"/>
        <w:jc w:val="both"/>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The use of modern versions and variations of TRIZ and ARIZ is only one of many possible tools when preparing a patent application. It is important to understand that the effectiveness of the process is largely determined by a set of measures, including the protection of technical solutions, building relationships with investors and strategic partners, and properly presenting the project to experts.</w:t>
      </w:r>
    </w:p>
    <w:p w14:paraId="0000000C" w14:textId="4EC10299" w:rsidR="009D3C94" w:rsidRPr="00640E06" w:rsidRDefault="00640E06" w:rsidP="00640E06">
      <w:pPr>
        <w:pBdr>
          <w:top w:val="nil"/>
          <w:left w:val="nil"/>
          <w:bottom w:val="nil"/>
          <w:right w:val="nil"/>
          <w:between w:val="nil"/>
        </w:pBdr>
        <w:tabs>
          <w:tab w:val="left" w:pos="567"/>
        </w:tabs>
        <w:spacing w:before="280" w:after="0" w:line="360" w:lineRule="auto"/>
        <w:jc w:val="both"/>
        <w:rPr>
          <w:rFonts w:ascii="Times New Roman" w:eastAsia="Times New Roman" w:hAnsi="Times New Roman" w:cs="Times New Roman"/>
          <w:sz w:val="24"/>
          <w:szCs w:val="24"/>
        </w:rPr>
      </w:pPr>
      <w:r w:rsidRPr="00640E06">
        <w:rPr>
          <w:rFonts w:ascii="Times New Roman" w:eastAsia="Times New Roman" w:hAnsi="Times New Roman" w:cs="Times New Roman"/>
          <w:color w:val="000000"/>
          <w:sz w:val="24"/>
          <w:szCs w:val="24"/>
        </w:rPr>
        <w:t>Relationships with investors and potential strategic partners are particularly important in the innovation process. To convince investors of the financial attractiveness of a project, it is necessary to thoroughly explain the essence of the project to experts, including all technological and innovative aspects. Serious protection of the technical solutions underlying the product is essential at all stages of the project's development.</w:t>
      </w:r>
    </w:p>
    <w:p w14:paraId="0000000D" w14:textId="7F9D645A" w:rsidR="009D3C94" w:rsidRDefault="00000000">
      <w:pPr>
        <w:pBdr>
          <w:top w:val="nil"/>
          <w:left w:val="nil"/>
          <w:bottom w:val="nil"/>
          <w:right w:val="nil"/>
          <w:between w:val="nil"/>
        </w:pBdr>
        <w:tabs>
          <w:tab w:val="left" w:pos="567"/>
        </w:tabs>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Keywords: </w:t>
      </w:r>
      <w:r w:rsidR="00640E06" w:rsidRPr="00640E06">
        <w:rPr>
          <w:rFonts w:ascii="Times New Roman" w:eastAsia="Times New Roman" w:hAnsi="Times New Roman" w:cs="Times New Roman"/>
          <w:sz w:val="24"/>
          <w:szCs w:val="24"/>
        </w:rPr>
        <w:t>Technical systems; intelligent technical systems; technical subsystems; intelligent technical subsystems; TRIZ analytical tools; ARIZ analytical tools; patent application; application of possible tools in the application; quantum computers; non-obviousness of the claimed technical solution</w:t>
      </w:r>
      <w:r w:rsidR="00640E06">
        <w:rPr>
          <w:rFonts w:ascii="Times New Roman" w:eastAsia="Times New Roman" w:hAnsi="Times New Roman" w:cs="Times New Roman"/>
          <w:sz w:val="24"/>
          <w:szCs w:val="24"/>
        </w:rPr>
        <w:t>.</w:t>
      </w:r>
    </w:p>
    <w:p w14:paraId="4DFF4D0B" w14:textId="77777777" w:rsidR="00640E06" w:rsidRDefault="00640E06" w:rsidP="00640E06">
      <w:pPr>
        <w:spacing w:before="240" w:after="240" w:line="360" w:lineRule="auto"/>
        <w:jc w:val="center"/>
        <w:rPr>
          <w:rFonts w:ascii="Times New Roman" w:eastAsia="Times New Roman" w:hAnsi="Times New Roman" w:cs="Times New Roman"/>
          <w:sz w:val="24"/>
          <w:szCs w:val="24"/>
        </w:rPr>
      </w:pPr>
      <w:r w:rsidRPr="00640E06">
        <w:rPr>
          <w:rFonts w:ascii="Times New Roman" w:eastAsia="Times New Roman" w:hAnsi="Times New Roman" w:cs="Times New Roman"/>
          <w:sz w:val="24"/>
          <w:szCs w:val="24"/>
        </w:rPr>
        <w:lastRenderedPageBreak/>
        <w:t>Key aspects of preparing a patent application</w:t>
      </w:r>
    </w:p>
    <w:p w14:paraId="7E574ADC" w14:textId="77777777" w:rsidR="00640E06" w:rsidRDefault="00640E06" w:rsidP="00640E06">
      <w:pPr>
        <w:pBdr>
          <w:top w:val="nil"/>
          <w:left w:val="nil"/>
          <w:bottom w:val="nil"/>
          <w:right w:val="nil"/>
          <w:between w:val="nil"/>
        </w:pBdr>
        <w:spacing w:before="280" w:after="0" w:line="360" w:lineRule="auto"/>
        <w:ind w:firstLine="720"/>
        <w:rPr>
          <w:rFonts w:ascii="Times New Roman" w:eastAsia="Times New Roman" w:hAnsi="Times New Roman" w:cs="Times New Roman"/>
          <w:bCs/>
          <w:iCs/>
          <w:sz w:val="24"/>
          <w:szCs w:val="24"/>
        </w:rPr>
      </w:pPr>
      <w:r w:rsidRPr="00640E06">
        <w:rPr>
          <w:rFonts w:ascii="Times New Roman" w:eastAsia="Times New Roman" w:hAnsi="Times New Roman" w:cs="Times New Roman"/>
          <w:bCs/>
          <w:iCs/>
          <w:sz w:val="24"/>
          <w:szCs w:val="24"/>
        </w:rPr>
        <w:t>The title of a proposed invention plays a fundamentally important role in shaping the initial conceptual assessment made by the patent examination authority. It must not only unambiguously reflect the essence of the technical solution but also provide a concise and precise commercial characterization of its potential market impact within the relevant field of application. A key requirement is to avoid any promotional or emotionally charged language, such as “effective,” “best,” or “unique.” Such expressions are not regarded by experts as objective, and their presence may diminish the impartiality of the evaluation, complicate the demonstration of innovation and non-obviousness, and weaken the overall credibility of the application.</w:t>
      </w:r>
    </w:p>
    <w:p w14:paraId="18812171" w14:textId="77777777" w:rsidR="00640E06" w:rsidRDefault="00640E06" w:rsidP="00640E06">
      <w:pPr>
        <w:pBdr>
          <w:top w:val="nil"/>
          <w:left w:val="nil"/>
          <w:bottom w:val="nil"/>
          <w:right w:val="nil"/>
          <w:between w:val="nil"/>
        </w:pBdr>
        <w:spacing w:before="280" w:after="0" w:line="360" w:lineRule="auto"/>
        <w:ind w:firstLine="720"/>
        <w:rPr>
          <w:rFonts w:ascii="Times New Roman" w:eastAsia="Times New Roman" w:hAnsi="Times New Roman" w:cs="Times New Roman"/>
          <w:bCs/>
          <w:iCs/>
          <w:sz w:val="24"/>
          <w:szCs w:val="24"/>
        </w:rPr>
      </w:pPr>
      <w:r w:rsidRPr="00640E06">
        <w:rPr>
          <w:rFonts w:ascii="Times New Roman" w:eastAsia="Times New Roman" w:hAnsi="Times New Roman" w:cs="Times New Roman"/>
          <w:bCs/>
          <w:iCs/>
          <w:sz w:val="24"/>
          <w:szCs w:val="24"/>
        </w:rPr>
        <w:t>The choice of title should be based on a thorough analysis of market conditions, assessment of current trends, and forecasting of potential technological and commercial developments. The title must reflect not only the current state of the industry but also the prospective applicability of the invention. Furthermore, if the applicant’s goal is to attract investment or establish partnerships with technology companies, it is highly recommended that the title be aligned with the interests of potential investors and partners. This ensures strategic coherence in the application, reinforces the perceived commercial significance of the development, and increases the likelihood of a favorable expert review.</w:t>
      </w:r>
    </w:p>
    <w:p w14:paraId="0D8BBB2D" w14:textId="77777777" w:rsidR="00640E06" w:rsidRDefault="00640E06" w:rsidP="00640E06">
      <w:pPr>
        <w:pBdr>
          <w:top w:val="nil"/>
          <w:left w:val="nil"/>
          <w:bottom w:val="nil"/>
          <w:right w:val="nil"/>
          <w:between w:val="nil"/>
        </w:pBdr>
        <w:spacing w:before="280" w:after="0" w:line="360" w:lineRule="auto"/>
        <w:ind w:firstLine="720"/>
        <w:rPr>
          <w:rFonts w:ascii="Times New Roman" w:eastAsia="Times New Roman" w:hAnsi="Times New Roman" w:cs="Times New Roman"/>
          <w:bCs/>
          <w:iCs/>
          <w:sz w:val="24"/>
          <w:szCs w:val="24"/>
        </w:rPr>
      </w:pPr>
      <w:r w:rsidRPr="00640E06">
        <w:rPr>
          <w:rFonts w:ascii="Times New Roman" w:eastAsia="Times New Roman" w:hAnsi="Times New Roman" w:cs="Times New Roman"/>
          <w:bCs/>
          <w:iCs/>
          <w:sz w:val="24"/>
          <w:szCs w:val="24"/>
        </w:rPr>
        <w:t>Particular attention should be given to the aspect of proving the invention’s non-obviousness, which is a key factor for patent examiners, especially in the United States. The title should be formulated in such a way that it lays the groundwork for substantiating the invention’s uniqueness and innovative value. It should briefly and clearly convey the distinct technical and functional characteristics that will later be elaborated upon in the application. Moreover, the title can serve as a strategic instrument for positioning the invention within the intellectual property market, ensuring a competitive advantage and facilitating the integration of the patent into commercial and scientific initiatives.</w:t>
      </w:r>
    </w:p>
    <w:p w14:paraId="22992F0E" w14:textId="0DE461E1" w:rsidR="00640E06" w:rsidRPr="00640E06" w:rsidRDefault="00640E06" w:rsidP="00640E06">
      <w:pPr>
        <w:pBdr>
          <w:top w:val="nil"/>
          <w:left w:val="nil"/>
          <w:bottom w:val="nil"/>
          <w:right w:val="nil"/>
          <w:between w:val="nil"/>
        </w:pBdr>
        <w:spacing w:before="280" w:after="0" w:line="360" w:lineRule="auto"/>
        <w:ind w:firstLine="720"/>
        <w:rPr>
          <w:rFonts w:ascii="Times New Roman" w:eastAsia="Times New Roman" w:hAnsi="Times New Roman" w:cs="Times New Roman"/>
          <w:bCs/>
          <w:iCs/>
          <w:sz w:val="24"/>
          <w:szCs w:val="24"/>
        </w:rPr>
      </w:pPr>
      <w:r w:rsidRPr="00640E06">
        <w:rPr>
          <w:rFonts w:ascii="Times New Roman" w:eastAsia="Times New Roman" w:hAnsi="Times New Roman" w:cs="Times New Roman"/>
          <w:bCs/>
          <w:iCs/>
          <w:sz w:val="24"/>
          <w:szCs w:val="24"/>
        </w:rPr>
        <w:t xml:space="preserve">It is also important to recognize that the title forms the first impression for all parties evaluating the patent—including examiners, investors, and potential partners. It should combine </w:t>
      </w:r>
      <w:r w:rsidRPr="00640E06">
        <w:rPr>
          <w:rFonts w:ascii="Times New Roman" w:eastAsia="Times New Roman" w:hAnsi="Times New Roman" w:cs="Times New Roman"/>
          <w:bCs/>
          <w:iCs/>
          <w:sz w:val="24"/>
          <w:szCs w:val="24"/>
        </w:rPr>
        <w:lastRenderedPageBreak/>
        <w:t>technical precision with strategic informativeness, demonstrating that the invention addresses specific problems, possesses high scientific value, and holds potential for practical implementation. Overall, a carefully chosen title not only increases the chances of a successful examination but also helps present the invention as a scientifically grounded and strategically positioned development on the international stage.</w:t>
      </w:r>
    </w:p>
    <w:p w14:paraId="5A6D4552" w14:textId="29DD8855" w:rsidR="00640E06" w:rsidRPr="00640E06" w:rsidRDefault="00640E06" w:rsidP="00640E06">
      <w:pPr>
        <w:pBdr>
          <w:top w:val="nil"/>
          <w:left w:val="nil"/>
          <w:bottom w:val="nil"/>
          <w:right w:val="nil"/>
          <w:between w:val="nil"/>
        </w:pBdr>
        <w:spacing w:before="280" w:after="0" w:line="360" w:lineRule="auto"/>
        <w:jc w:val="center"/>
        <w:rPr>
          <w:rFonts w:ascii="Times New Roman" w:eastAsia="Times New Roman" w:hAnsi="Times New Roman" w:cs="Times New Roman"/>
          <w:bCs/>
          <w:iCs/>
          <w:sz w:val="24"/>
          <w:szCs w:val="24"/>
        </w:rPr>
      </w:pPr>
      <w:r w:rsidRPr="00640E06">
        <w:rPr>
          <w:rFonts w:ascii="Times New Roman" w:eastAsia="Times New Roman" w:hAnsi="Times New Roman" w:cs="Times New Roman"/>
          <w:bCs/>
          <w:iCs/>
          <w:sz w:val="24"/>
          <w:szCs w:val="24"/>
        </w:rPr>
        <w:t>Development of Quantum Technologies</w:t>
      </w:r>
    </w:p>
    <w:p w14:paraId="0A3497EB" w14:textId="77777777" w:rsidR="00640E06" w:rsidRDefault="00640E06" w:rsidP="00640E06">
      <w:pPr>
        <w:pBdr>
          <w:top w:val="nil"/>
          <w:left w:val="nil"/>
          <w:bottom w:val="nil"/>
          <w:right w:val="nil"/>
          <w:between w:val="nil"/>
        </w:pBdr>
        <w:spacing w:before="280" w:after="0" w:line="360" w:lineRule="auto"/>
        <w:ind w:firstLine="720"/>
        <w:rPr>
          <w:rFonts w:ascii="Times New Roman" w:eastAsia="Times New Roman" w:hAnsi="Times New Roman" w:cs="Times New Roman"/>
          <w:bCs/>
          <w:iCs/>
          <w:sz w:val="24"/>
          <w:szCs w:val="24"/>
        </w:rPr>
      </w:pPr>
      <w:r w:rsidRPr="00640E06">
        <w:rPr>
          <w:rFonts w:ascii="Times New Roman" w:eastAsia="Times New Roman" w:hAnsi="Times New Roman" w:cs="Times New Roman"/>
          <w:bCs/>
          <w:iCs/>
          <w:sz w:val="24"/>
          <w:szCs w:val="24"/>
        </w:rPr>
        <w:t>The modern market for intelligent technologies is undergoing profound transformation driven by the emergence and implementation of quantum computing systems. The first practical quantum computers have opened new horizons, triggering a global race toward achieving “quantum supremacy.” Contemporary models, including devices operating with 20 qubits, employ advanced superconducting technologies and provide computational capabilities unattainable by traditional supercomputers.</w:t>
      </w:r>
    </w:p>
    <w:p w14:paraId="6F2E2E37" w14:textId="77777777" w:rsidR="00640E06" w:rsidRDefault="00640E06" w:rsidP="00640E06">
      <w:pPr>
        <w:pBdr>
          <w:top w:val="nil"/>
          <w:left w:val="nil"/>
          <w:bottom w:val="nil"/>
          <w:right w:val="nil"/>
          <w:between w:val="nil"/>
        </w:pBdr>
        <w:spacing w:before="280" w:after="0" w:line="360" w:lineRule="auto"/>
        <w:ind w:firstLine="720"/>
        <w:rPr>
          <w:rFonts w:ascii="Times New Roman" w:eastAsia="Times New Roman" w:hAnsi="Times New Roman" w:cs="Times New Roman"/>
          <w:bCs/>
          <w:iCs/>
          <w:sz w:val="24"/>
          <w:szCs w:val="24"/>
        </w:rPr>
      </w:pPr>
      <w:r w:rsidRPr="00640E06">
        <w:rPr>
          <w:rFonts w:ascii="Times New Roman" w:eastAsia="Times New Roman" w:hAnsi="Times New Roman" w:cs="Times New Roman"/>
          <w:bCs/>
          <w:iCs/>
          <w:sz w:val="24"/>
          <w:szCs w:val="24"/>
        </w:rPr>
        <w:t>“Quantum supremacy” is defined as the ability of a quantum computer to solve problems that cannot be efficiently handled by classical systems. At present, it has been achieved only for a limited set of model problems; however, the ongoing development of quantum computing indicates a steady expansion of solvable tasks and a potential fundamental transformation of the entire computing industry. The leading countries in this domain remain the United States and China, with active research and investment also taking place in Europe, Japan, and other regions—creating a globally competitive environment.</w:t>
      </w:r>
    </w:p>
    <w:p w14:paraId="4A4CFB96" w14:textId="77777777" w:rsidR="00640E06" w:rsidRDefault="00640E06" w:rsidP="00640E06">
      <w:pPr>
        <w:pBdr>
          <w:top w:val="nil"/>
          <w:left w:val="nil"/>
          <w:bottom w:val="nil"/>
          <w:right w:val="nil"/>
          <w:between w:val="nil"/>
        </w:pBdr>
        <w:spacing w:before="280" w:after="0" w:line="360" w:lineRule="auto"/>
        <w:ind w:firstLine="720"/>
        <w:rPr>
          <w:rFonts w:ascii="Times New Roman" w:eastAsia="Times New Roman" w:hAnsi="Times New Roman" w:cs="Times New Roman"/>
          <w:bCs/>
          <w:iCs/>
          <w:sz w:val="24"/>
          <w:szCs w:val="24"/>
        </w:rPr>
      </w:pPr>
      <w:r w:rsidRPr="00640E06">
        <w:rPr>
          <w:rFonts w:ascii="Times New Roman" w:eastAsia="Times New Roman" w:hAnsi="Times New Roman" w:cs="Times New Roman"/>
          <w:bCs/>
          <w:iCs/>
          <w:sz w:val="24"/>
          <w:szCs w:val="24"/>
        </w:rPr>
        <w:t>The progress of quantum computing encompasses not only hardware development but also infrastructural solutions: providing remote access to computing power, developing specialized software, integrating quantum and classical systems, building platforms for shared use of computing resources, and forming ecosystems that connect research institutions with commercial enterprises. Investors are actively funding projects in this field, recognizing that quantum technologies represent a strategic resource not only for scientific advancement but also for national security and economic resilience.</w:t>
      </w:r>
    </w:p>
    <w:p w14:paraId="1947398B" w14:textId="77777777" w:rsidR="00640E06" w:rsidRDefault="00640E06" w:rsidP="00640E06">
      <w:pPr>
        <w:pBdr>
          <w:top w:val="nil"/>
          <w:left w:val="nil"/>
          <w:bottom w:val="nil"/>
          <w:right w:val="nil"/>
          <w:between w:val="nil"/>
        </w:pBdr>
        <w:spacing w:before="280" w:after="0" w:line="360" w:lineRule="auto"/>
        <w:ind w:firstLine="720"/>
        <w:rPr>
          <w:rFonts w:ascii="Times New Roman" w:eastAsia="Times New Roman" w:hAnsi="Times New Roman" w:cs="Times New Roman"/>
          <w:bCs/>
          <w:iCs/>
          <w:sz w:val="24"/>
          <w:szCs w:val="24"/>
        </w:rPr>
      </w:pPr>
      <w:r w:rsidRPr="00640E06">
        <w:rPr>
          <w:rFonts w:ascii="Times New Roman" w:eastAsia="Times New Roman" w:hAnsi="Times New Roman" w:cs="Times New Roman"/>
          <w:bCs/>
          <w:iCs/>
          <w:sz w:val="24"/>
          <w:szCs w:val="24"/>
        </w:rPr>
        <w:t xml:space="preserve">Research laboratories and innovation centers working in quantum computing focus on developing algorithms, modeling systems, integrating with existing computational infrastructure, </w:t>
      </w:r>
      <w:r w:rsidRPr="00640E06">
        <w:rPr>
          <w:rFonts w:ascii="Times New Roman" w:eastAsia="Times New Roman" w:hAnsi="Times New Roman" w:cs="Times New Roman"/>
          <w:bCs/>
          <w:iCs/>
          <w:sz w:val="24"/>
          <w:szCs w:val="24"/>
        </w:rPr>
        <w:lastRenderedPageBreak/>
        <w:t>and adapting solutions for practical applications. International collaboration is of particular importance, enabling faster technology adoption, knowledge exchange, and the creation of a global innovation ecosystem. These processes foster both technical progress and economic returns on investment, stimulating the emergence of new industries, services, and startups based on quantum technologies.</w:t>
      </w:r>
    </w:p>
    <w:p w14:paraId="1CF261F2" w14:textId="77777777" w:rsidR="00640E06" w:rsidRDefault="00640E06" w:rsidP="00640E06">
      <w:pPr>
        <w:pBdr>
          <w:top w:val="nil"/>
          <w:left w:val="nil"/>
          <w:bottom w:val="nil"/>
          <w:right w:val="nil"/>
          <w:between w:val="nil"/>
        </w:pBdr>
        <w:spacing w:before="280" w:after="0" w:line="360" w:lineRule="auto"/>
        <w:ind w:firstLine="720"/>
        <w:rPr>
          <w:rFonts w:ascii="Times New Roman" w:eastAsia="Times New Roman" w:hAnsi="Times New Roman" w:cs="Times New Roman"/>
          <w:bCs/>
          <w:iCs/>
          <w:sz w:val="24"/>
          <w:szCs w:val="24"/>
        </w:rPr>
      </w:pPr>
      <w:r w:rsidRPr="00640E06">
        <w:rPr>
          <w:rFonts w:ascii="Times New Roman" w:eastAsia="Times New Roman" w:hAnsi="Times New Roman" w:cs="Times New Roman"/>
          <w:bCs/>
          <w:iCs/>
          <w:sz w:val="24"/>
          <w:szCs w:val="24"/>
        </w:rPr>
        <w:t>Key developers emphasize that quantum technologies are designed to enhance human capabilities across diverse fields such as robotics, autonomous systems, cybersecurity, artificial intelligence, modeling of complex physical processes, and business process optimization. Their integration into commercial and scientific projects accelerates innovation and enables the creation of high-value technological platforms.</w:t>
      </w:r>
    </w:p>
    <w:p w14:paraId="3D8CC9E4" w14:textId="662E6555" w:rsidR="00640E06" w:rsidRPr="00640E06" w:rsidRDefault="00640E06" w:rsidP="00640E06">
      <w:pPr>
        <w:pBdr>
          <w:top w:val="nil"/>
          <w:left w:val="nil"/>
          <w:bottom w:val="nil"/>
          <w:right w:val="nil"/>
          <w:between w:val="nil"/>
        </w:pBdr>
        <w:spacing w:before="280" w:after="0" w:line="360" w:lineRule="auto"/>
        <w:ind w:firstLine="720"/>
        <w:rPr>
          <w:rFonts w:ascii="Times New Roman" w:eastAsia="Times New Roman" w:hAnsi="Times New Roman" w:cs="Times New Roman"/>
          <w:bCs/>
          <w:iCs/>
          <w:sz w:val="24"/>
          <w:szCs w:val="24"/>
        </w:rPr>
      </w:pPr>
      <w:r w:rsidRPr="00640E06">
        <w:rPr>
          <w:rFonts w:ascii="Times New Roman" w:eastAsia="Times New Roman" w:hAnsi="Times New Roman" w:cs="Times New Roman"/>
          <w:bCs/>
          <w:iCs/>
          <w:sz w:val="24"/>
          <w:szCs w:val="24"/>
        </w:rPr>
        <w:t xml:space="preserve">The presentation of the first quantum computer marked an important milestone in the history of technological progress, demonstrating the practical application of scientific research in real-world contexts. This was not an isolated </w:t>
      </w:r>
      <w:proofErr w:type="gramStart"/>
      <w:r w:rsidRPr="00640E06">
        <w:rPr>
          <w:rFonts w:ascii="Times New Roman" w:eastAsia="Times New Roman" w:hAnsi="Times New Roman" w:cs="Times New Roman"/>
          <w:bCs/>
          <w:iCs/>
          <w:sz w:val="24"/>
          <w:szCs w:val="24"/>
        </w:rPr>
        <w:t>initiative</w:t>
      </w:r>
      <w:proofErr w:type="gramEnd"/>
      <w:r w:rsidRPr="00640E06">
        <w:rPr>
          <w:rFonts w:ascii="Times New Roman" w:eastAsia="Times New Roman" w:hAnsi="Times New Roman" w:cs="Times New Roman"/>
          <w:bCs/>
          <w:iCs/>
          <w:sz w:val="24"/>
          <w:szCs w:val="24"/>
        </w:rPr>
        <w:t xml:space="preserve"> but part of a broader national strategy aimed at maintaining technological leadership, stimulating economic growth, and cultivating a highly skilled scientific and technical workforce. Within this framework, special attention is devoted not only to building devices but also to developing the infrastructure required for practical use of quantum technologies, integrating them into business processes, training specialists, and fostering collaboration between scientific, educational, and commercial institutions.</w:t>
      </w:r>
    </w:p>
    <w:p w14:paraId="00000037" w14:textId="32B0208D" w:rsidR="009D3C94" w:rsidRPr="00640E06" w:rsidRDefault="00640E06" w:rsidP="00640E06">
      <w:pPr>
        <w:pBdr>
          <w:top w:val="nil"/>
          <w:left w:val="nil"/>
          <w:bottom w:val="nil"/>
          <w:right w:val="nil"/>
          <w:between w:val="nil"/>
        </w:pBdr>
        <w:spacing w:before="280" w:after="0" w:line="360" w:lineRule="auto"/>
        <w:ind w:firstLine="720"/>
        <w:rPr>
          <w:rFonts w:ascii="Times New Roman" w:eastAsia="Times New Roman" w:hAnsi="Times New Roman" w:cs="Times New Roman"/>
          <w:bCs/>
          <w:iCs/>
          <w:sz w:val="24"/>
          <w:szCs w:val="24"/>
        </w:rPr>
      </w:pPr>
      <w:r w:rsidRPr="00640E06">
        <w:rPr>
          <w:rFonts w:ascii="Times New Roman" w:eastAsia="Times New Roman" w:hAnsi="Times New Roman" w:cs="Times New Roman"/>
          <w:bCs/>
          <w:iCs/>
          <w:sz w:val="24"/>
          <w:szCs w:val="24"/>
        </w:rPr>
        <w:t xml:space="preserve">The advancement of quantum technologies is becoming a key driver of the innovation economy, defining priorities in scientific research, strategic investment directions, and global competitive advantages. Their implementation not only allows for the solution of previously intractable problems but also lays the foundation for the emergence of new industries, the transformation of existing processes, and the deeper integration of intelligent systems into </w:t>
      </w:r>
      <w:proofErr w:type="spellStart"/>
      <w:r w:rsidRPr="00640E06">
        <w:rPr>
          <w:rFonts w:ascii="Times New Roman" w:eastAsia="Times New Roman" w:hAnsi="Times New Roman" w:cs="Times New Roman"/>
          <w:bCs/>
          <w:iCs/>
          <w:sz w:val="24"/>
          <w:szCs w:val="24"/>
        </w:rPr>
        <w:t>everyday</w:t>
      </w:r>
      <w:proofErr w:type="spellEnd"/>
      <w:r w:rsidRPr="00640E06">
        <w:rPr>
          <w:rFonts w:ascii="Times New Roman" w:eastAsia="Times New Roman" w:hAnsi="Times New Roman" w:cs="Times New Roman"/>
          <w:bCs/>
          <w:iCs/>
          <w:sz w:val="24"/>
          <w:szCs w:val="24"/>
        </w:rPr>
        <w:t xml:space="preserve"> and industrial practice.</w:t>
      </w:r>
    </w:p>
    <w:p w14:paraId="00000038" w14:textId="77777777" w:rsidR="009D3C94" w:rsidRPr="00640E06" w:rsidRDefault="009D3C94">
      <w:pPr>
        <w:pBdr>
          <w:top w:val="nil"/>
          <w:left w:val="nil"/>
          <w:bottom w:val="nil"/>
          <w:right w:val="nil"/>
          <w:between w:val="nil"/>
        </w:pBdr>
        <w:spacing w:before="280" w:after="0" w:line="360" w:lineRule="auto"/>
        <w:ind w:firstLine="567"/>
        <w:jc w:val="center"/>
        <w:rPr>
          <w:rFonts w:ascii="Times New Roman" w:eastAsia="Times New Roman" w:hAnsi="Times New Roman" w:cs="Times New Roman"/>
          <w:b/>
          <w:i/>
          <w:sz w:val="24"/>
          <w:szCs w:val="24"/>
        </w:rPr>
      </w:pPr>
    </w:p>
    <w:p w14:paraId="3762C8A9" w14:textId="77777777" w:rsidR="00640E06" w:rsidRDefault="00640E06" w:rsidP="00640E06">
      <w:pPr>
        <w:pBdr>
          <w:top w:val="nil"/>
          <w:left w:val="nil"/>
          <w:bottom w:val="nil"/>
          <w:right w:val="nil"/>
          <w:between w:val="nil"/>
        </w:pBdr>
        <w:spacing w:before="280" w:after="0" w:line="360" w:lineRule="auto"/>
        <w:rPr>
          <w:rFonts w:ascii="Times New Roman" w:eastAsia="Times New Roman" w:hAnsi="Times New Roman" w:cs="Times New Roman"/>
          <w:b/>
          <w:i/>
          <w:sz w:val="24"/>
          <w:szCs w:val="24"/>
        </w:rPr>
      </w:pPr>
    </w:p>
    <w:p w14:paraId="00000039" w14:textId="0F0B164A" w:rsidR="009D3C94" w:rsidRDefault="00000000" w:rsidP="00640E06">
      <w:pPr>
        <w:pBdr>
          <w:top w:val="nil"/>
          <w:left w:val="nil"/>
          <w:bottom w:val="nil"/>
          <w:right w:val="nil"/>
          <w:between w:val="nil"/>
        </w:pBdr>
        <w:spacing w:before="280" w:after="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References</w:t>
      </w:r>
    </w:p>
    <w:p w14:paraId="73BA5AE9" w14:textId="77777777" w:rsid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p>
    <w:p w14:paraId="297AAA98" w14:textId="72424768"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United States Patent Application</w:t>
      </w:r>
      <w:r w:rsidRPr="00640E06">
        <w:rPr>
          <w:rFonts w:ascii="Times New Roman" w:eastAsia="Times New Roman" w:hAnsi="Times New Roman" w:cs="Times New Roman"/>
          <w:color w:val="000000"/>
          <w:sz w:val="24"/>
          <w:szCs w:val="24"/>
        </w:rPr>
        <w:tab/>
        <w:t xml:space="preserve">20190244404 </w:t>
      </w:r>
    </w:p>
    <w:p w14:paraId="61EF56D8" w14:textId="77777777"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 xml:space="preserve">Kind Code </w:t>
      </w:r>
      <w:r w:rsidRPr="00640E06">
        <w:rPr>
          <w:rFonts w:ascii="Times New Roman" w:eastAsia="Times New Roman" w:hAnsi="Times New Roman" w:cs="Times New Roman"/>
          <w:color w:val="000000"/>
          <w:sz w:val="24"/>
          <w:szCs w:val="24"/>
        </w:rPr>
        <w:tab/>
        <w:t xml:space="preserve">A1 </w:t>
      </w:r>
    </w:p>
    <w:p w14:paraId="35E37D34" w14:textId="77777777"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 xml:space="preserve">Goslin; Michael P. </w:t>
      </w:r>
      <w:r w:rsidRPr="00640E06">
        <w:rPr>
          <w:rFonts w:ascii="Times New Roman" w:eastAsia="Times New Roman" w:hAnsi="Times New Roman" w:cs="Times New Roman"/>
          <w:color w:val="000000"/>
          <w:sz w:val="24"/>
          <w:szCs w:val="24"/>
        </w:rPr>
        <w:tab/>
        <w:t xml:space="preserve">August 8, 2019 </w:t>
      </w:r>
    </w:p>
    <w:p w14:paraId="7346FA78" w14:textId="77777777"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 xml:space="preserve"> </w:t>
      </w:r>
    </w:p>
    <w:p w14:paraId="7E9615DE" w14:textId="4F3E9FB2"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 xml:space="preserve">SYSTEMS AND METHODS TO PROVIDE ARTIFICIAL INTELLIGENCE EXPERIENCES </w:t>
      </w:r>
    </w:p>
    <w:p w14:paraId="5ED1F403" w14:textId="77777777"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p>
    <w:p w14:paraId="378AF56D" w14:textId="77777777"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Abstract</w:t>
      </w:r>
    </w:p>
    <w:p w14:paraId="68F6245F" w14:textId="2FC71078"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 xml:space="preserve">The present disclosure relates to providing artificial intelligence experiences. The artificial intelligence experiences may include a persistent virtual character. The persistent virtual characters are associated with geo-locations. The persistent virtual characters are accessible to the user at the geolocation associated with the persistent virtual characters. The persistent virtual characters manner of behavior toward the user is based on previous user interaction with the persistent virtual characters and information received from external sources. </w:t>
      </w:r>
    </w:p>
    <w:p w14:paraId="52253D24" w14:textId="77777777" w:rsidR="00640E06" w:rsidRPr="00640E06" w:rsidRDefault="00640E06" w:rsidP="00640E0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79A777CC" w14:textId="77777777"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United States Patent Application</w:t>
      </w:r>
      <w:r w:rsidRPr="00640E06">
        <w:rPr>
          <w:rFonts w:ascii="Times New Roman" w:eastAsia="Times New Roman" w:hAnsi="Times New Roman" w:cs="Times New Roman"/>
          <w:color w:val="000000"/>
          <w:sz w:val="24"/>
          <w:szCs w:val="24"/>
        </w:rPr>
        <w:tab/>
        <w:t xml:space="preserve">20190279218 </w:t>
      </w:r>
    </w:p>
    <w:p w14:paraId="28ABD8A1" w14:textId="77777777"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 xml:space="preserve">Kind Code </w:t>
      </w:r>
      <w:r w:rsidRPr="00640E06">
        <w:rPr>
          <w:rFonts w:ascii="Times New Roman" w:eastAsia="Times New Roman" w:hAnsi="Times New Roman" w:cs="Times New Roman"/>
          <w:color w:val="000000"/>
          <w:sz w:val="24"/>
          <w:szCs w:val="24"/>
        </w:rPr>
        <w:tab/>
        <w:t xml:space="preserve">A1 </w:t>
      </w:r>
    </w:p>
    <w:p w14:paraId="63A25434" w14:textId="77777777"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proofErr w:type="spellStart"/>
      <w:r w:rsidRPr="00640E06">
        <w:rPr>
          <w:rFonts w:ascii="Times New Roman" w:eastAsia="Times New Roman" w:hAnsi="Times New Roman" w:cs="Times New Roman"/>
          <w:color w:val="000000"/>
          <w:sz w:val="24"/>
          <w:szCs w:val="24"/>
        </w:rPr>
        <w:t>Adjaoute</w:t>
      </w:r>
      <w:proofErr w:type="spellEnd"/>
      <w:r w:rsidRPr="00640E06">
        <w:rPr>
          <w:rFonts w:ascii="Times New Roman" w:eastAsia="Times New Roman" w:hAnsi="Times New Roman" w:cs="Times New Roman"/>
          <w:color w:val="000000"/>
          <w:sz w:val="24"/>
          <w:szCs w:val="24"/>
        </w:rPr>
        <w:t xml:space="preserve">; Akli </w:t>
      </w:r>
      <w:r w:rsidRPr="00640E06">
        <w:rPr>
          <w:rFonts w:ascii="Times New Roman" w:eastAsia="Times New Roman" w:hAnsi="Times New Roman" w:cs="Times New Roman"/>
          <w:color w:val="000000"/>
          <w:sz w:val="24"/>
          <w:szCs w:val="24"/>
        </w:rPr>
        <w:tab/>
        <w:t xml:space="preserve">September 12, 2019 </w:t>
      </w:r>
    </w:p>
    <w:p w14:paraId="6585462D" w14:textId="77777777"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 xml:space="preserve"> </w:t>
      </w:r>
    </w:p>
    <w:p w14:paraId="2F1125BB" w14:textId="11A140DE"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 xml:space="preserve">BEHAVIOR TRACKING SMART AGENTS FOR ARTIFICIAL INTELLIGENCE FRAUD PROTECTION AND MANAGEMENT </w:t>
      </w:r>
    </w:p>
    <w:p w14:paraId="3FE13EF1" w14:textId="77777777"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p>
    <w:p w14:paraId="3F386C62" w14:textId="77777777"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Abstract</w:t>
      </w:r>
    </w:p>
    <w:p w14:paraId="0000004B" w14:textId="02CF8BD0" w:rsidR="009D3C94"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sz w:val="24"/>
          <w:szCs w:val="24"/>
        </w:rPr>
      </w:pPr>
      <w:r w:rsidRPr="00640E06">
        <w:rPr>
          <w:rFonts w:ascii="Times New Roman" w:eastAsia="Times New Roman" w:hAnsi="Times New Roman" w:cs="Times New Roman"/>
          <w:color w:val="000000"/>
          <w:sz w:val="24"/>
          <w:szCs w:val="24"/>
        </w:rPr>
        <w:t xml:space="preserve">An artificial intelligence fraud management solution comprises a development system to generate a population of virtual smart agents corresponding to every cardholder, merchant, and device ID that hinted at during modeling and training. Each smart agent is nothing more than a pigeonhole and summation of various aspects of every transaction in a real-time profile of less than ninety days and a long-term profile of transactions older than ninety days. Actors and entities are built of no more than the attributes the express in each transaction. </w:t>
      </w:r>
    </w:p>
    <w:sectPr w:rsidR="009D3C94" w:rsidRPr="00640E06">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7089" w14:textId="77777777" w:rsidR="00697EA2" w:rsidRDefault="00697EA2">
      <w:pPr>
        <w:spacing w:after="0" w:line="240" w:lineRule="auto"/>
      </w:pPr>
      <w:r>
        <w:separator/>
      </w:r>
    </w:p>
  </w:endnote>
  <w:endnote w:type="continuationSeparator" w:id="0">
    <w:p w14:paraId="1CE92231" w14:textId="77777777" w:rsidR="00697EA2" w:rsidRDefault="0069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75A747E7" w:rsidR="009D3C94"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F74F0">
      <w:rPr>
        <w:noProof/>
        <w:color w:val="000000"/>
      </w:rPr>
      <w:t>1</w:t>
    </w:r>
    <w:r>
      <w:rPr>
        <w:color w:val="000000"/>
      </w:rPr>
      <w:fldChar w:fldCharType="end"/>
    </w:r>
  </w:p>
  <w:p w14:paraId="0000004D" w14:textId="77777777" w:rsidR="009D3C94" w:rsidRDefault="009D3C9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1BE4F" w14:textId="77777777" w:rsidR="00697EA2" w:rsidRDefault="00697EA2">
      <w:pPr>
        <w:spacing w:after="0" w:line="240" w:lineRule="auto"/>
      </w:pPr>
      <w:r>
        <w:separator/>
      </w:r>
    </w:p>
  </w:footnote>
  <w:footnote w:type="continuationSeparator" w:id="0">
    <w:p w14:paraId="1A16E54F" w14:textId="77777777" w:rsidR="00697EA2" w:rsidRDefault="00697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E" w14:textId="77777777" w:rsidR="009D3C94" w:rsidRDefault="009D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F249A"/>
    <w:multiLevelType w:val="multilevel"/>
    <w:tmpl w:val="C2CC80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DA103F1"/>
    <w:multiLevelType w:val="multilevel"/>
    <w:tmpl w:val="E74AA8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5156276C"/>
    <w:multiLevelType w:val="multilevel"/>
    <w:tmpl w:val="2348E4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030717604">
    <w:abstractNumId w:val="0"/>
  </w:num>
  <w:num w:numId="2" w16cid:durableId="689911122">
    <w:abstractNumId w:val="2"/>
  </w:num>
  <w:num w:numId="3" w16cid:durableId="102579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94"/>
    <w:rsid w:val="00177B74"/>
    <w:rsid w:val="001B1540"/>
    <w:rsid w:val="006140BB"/>
    <w:rsid w:val="00640E06"/>
    <w:rsid w:val="00697EA2"/>
    <w:rsid w:val="006E1784"/>
    <w:rsid w:val="009D3C94"/>
    <w:rsid w:val="00FF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A359"/>
  <w15:docId w15:val="{D20E5771-EDA0-F648-BFCF-7935649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line="278" w:lineRule="auto"/>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line="278" w:lineRule="auto"/>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line="278" w:lineRule="auto"/>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line="278" w:lineRule="auto"/>
      <w:outlineLvl w:val="3"/>
    </w:pPr>
    <w:rPr>
      <w:i/>
      <w:color w:val="2F5496"/>
      <w:sz w:val="24"/>
      <w:szCs w:val="24"/>
    </w:rPr>
  </w:style>
  <w:style w:type="paragraph" w:styleId="Heading5">
    <w:name w:val="heading 5"/>
    <w:basedOn w:val="Normal"/>
    <w:next w:val="Normal"/>
    <w:uiPriority w:val="9"/>
    <w:semiHidden/>
    <w:unhideWhenUsed/>
    <w:qFormat/>
    <w:pPr>
      <w:keepNext/>
      <w:keepLines/>
      <w:spacing w:before="80" w:after="40" w:line="278" w:lineRule="auto"/>
      <w:outlineLvl w:val="4"/>
    </w:pPr>
    <w:rPr>
      <w:color w:val="2F5496"/>
      <w:sz w:val="24"/>
      <w:szCs w:val="24"/>
    </w:rPr>
  </w:style>
  <w:style w:type="paragraph" w:styleId="Heading6">
    <w:name w:val="heading 6"/>
    <w:basedOn w:val="Normal"/>
    <w:next w:val="Normal"/>
    <w:uiPriority w:val="9"/>
    <w:semiHidden/>
    <w:unhideWhenUsed/>
    <w:qFormat/>
    <w:pPr>
      <w:keepNext/>
      <w:keepLines/>
      <w:spacing w:before="40" w:after="0" w:line="278" w:lineRule="auto"/>
      <w:outlineLvl w:val="5"/>
    </w:pPr>
    <w:rPr>
      <w:i/>
      <w:color w:val="595959"/>
      <w:sz w:val="24"/>
      <w:szCs w:val="24"/>
    </w:rPr>
  </w:style>
  <w:style w:type="paragraph" w:styleId="Heading7">
    <w:name w:val="heading 7"/>
    <w:link w:val="Heading7Char"/>
    <w:uiPriority w:val="9"/>
    <w:semiHidden/>
    <w:unhideWhenUsed/>
    <w:qFormat/>
    <w:rsid w:val="008B14D1"/>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Heading8">
    <w:name w:val="heading 8"/>
    <w:link w:val="Heading8Char"/>
    <w:uiPriority w:val="9"/>
    <w:semiHidden/>
    <w:unhideWhenUsed/>
    <w:qFormat/>
    <w:rsid w:val="008B14D1"/>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Heading9">
    <w:name w:val="heading 9"/>
    <w:link w:val="Heading9Char"/>
    <w:uiPriority w:val="9"/>
    <w:semiHidden/>
    <w:unhideWhenUsed/>
    <w:qFormat/>
    <w:rsid w:val="008B14D1"/>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sz w:val="56"/>
      <w:szCs w:val="56"/>
    </w:rPr>
  </w:style>
  <w:style w:type="character" w:customStyle="1" w:styleId="1">
    <w:name w:val="Заголовок 1 Знак"/>
    <w:basedOn w:val="DefaultParagraphFont"/>
    <w:uiPriority w:val="9"/>
    <w:rsid w:val="008B14D1"/>
    <w:rPr>
      <w:rFonts w:asciiTheme="majorHAnsi" w:eastAsiaTheme="majorEastAsia" w:hAnsiTheme="majorHAnsi" w:cstheme="majorBidi"/>
      <w:color w:val="2F5496" w:themeColor="accent1" w:themeShade="BF"/>
      <w:sz w:val="40"/>
      <w:szCs w:val="40"/>
    </w:rPr>
  </w:style>
  <w:style w:type="character" w:customStyle="1" w:styleId="2">
    <w:name w:val="Заголовок 2 Знак"/>
    <w:basedOn w:val="DefaultParagraphFont"/>
    <w:uiPriority w:val="9"/>
    <w:semiHidden/>
    <w:rsid w:val="008B14D1"/>
    <w:rPr>
      <w:rFonts w:asciiTheme="majorHAnsi" w:eastAsiaTheme="majorEastAsia" w:hAnsiTheme="majorHAnsi" w:cstheme="majorBidi"/>
      <w:color w:val="2F5496" w:themeColor="accent1" w:themeShade="BF"/>
      <w:sz w:val="32"/>
      <w:szCs w:val="32"/>
    </w:rPr>
  </w:style>
  <w:style w:type="character" w:customStyle="1" w:styleId="3">
    <w:name w:val="Заголовок 3 Знак"/>
    <w:basedOn w:val="DefaultParagraphFont"/>
    <w:uiPriority w:val="9"/>
    <w:semiHidden/>
    <w:rsid w:val="008B14D1"/>
    <w:rPr>
      <w:rFonts w:eastAsiaTheme="majorEastAsia" w:cstheme="majorBidi"/>
      <w:color w:val="2F5496" w:themeColor="accent1" w:themeShade="BF"/>
      <w:sz w:val="28"/>
      <w:szCs w:val="28"/>
    </w:rPr>
  </w:style>
  <w:style w:type="character" w:customStyle="1" w:styleId="4">
    <w:name w:val="Заголовок 4 Знак"/>
    <w:basedOn w:val="DefaultParagraphFont"/>
    <w:uiPriority w:val="9"/>
    <w:semiHidden/>
    <w:rsid w:val="008B14D1"/>
    <w:rPr>
      <w:rFonts w:eastAsiaTheme="majorEastAsia" w:cstheme="majorBidi"/>
      <w:i/>
      <w:iCs/>
      <w:color w:val="2F5496" w:themeColor="accent1" w:themeShade="BF"/>
    </w:rPr>
  </w:style>
  <w:style w:type="character" w:customStyle="1" w:styleId="5">
    <w:name w:val="Заголовок 5 Знак"/>
    <w:basedOn w:val="DefaultParagraphFont"/>
    <w:uiPriority w:val="9"/>
    <w:semiHidden/>
    <w:rsid w:val="008B14D1"/>
    <w:rPr>
      <w:rFonts w:eastAsiaTheme="majorEastAsia" w:cstheme="majorBidi"/>
      <w:color w:val="2F5496" w:themeColor="accent1" w:themeShade="BF"/>
    </w:rPr>
  </w:style>
  <w:style w:type="character" w:customStyle="1" w:styleId="6">
    <w:name w:val="Заголовок 6 Знак"/>
    <w:basedOn w:val="DefaultParagraphFont"/>
    <w:uiPriority w:val="9"/>
    <w:semiHidden/>
    <w:rsid w:val="008B1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4D1"/>
    <w:rPr>
      <w:rFonts w:eastAsiaTheme="majorEastAsia" w:cstheme="majorBidi"/>
      <w:color w:val="272727" w:themeColor="text1" w:themeTint="D8"/>
    </w:rPr>
  </w:style>
  <w:style w:type="character" w:customStyle="1" w:styleId="a">
    <w:name w:val="Заголовок Знак"/>
    <w:basedOn w:val="DefaultParagraphFont"/>
    <w:uiPriority w:val="10"/>
    <w:rsid w:val="008B14D1"/>
    <w:rPr>
      <w:rFonts w:asciiTheme="majorHAnsi" w:eastAsiaTheme="majorEastAsia" w:hAnsiTheme="majorHAnsi" w:cstheme="majorBidi"/>
      <w:spacing w:val="-10"/>
      <w:kern w:val="28"/>
      <w:sz w:val="56"/>
      <w:szCs w:val="56"/>
    </w:rPr>
  </w:style>
  <w:style w:type="character" w:customStyle="1" w:styleId="a0">
    <w:name w:val="Подзаголовок Знак"/>
    <w:basedOn w:val="DefaultParagraphFont"/>
    <w:uiPriority w:val="11"/>
    <w:rsid w:val="008B14D1"/>
    <w:rPr>
      <w:rFonts w:eastAsiaTheme="majorEastAsia" w:cstheme="majorBidi"/>
      <w:color w:val="595959" w:themeColor="text1" w:themeTint="A6"/>
      <w:spacing w:val="15"/>
      <w:sz w:val="28"/>
      <w:szCs w:val="28"/>
    </w:rPr>
  </w:style>
  <w:style w:type="paragraph" w:styleId="Quote">
    <w:name w:val="Quote"/>
    <w:link w:val="QuoteChar"/>
    <w:uiPriority w:val="29"/>
    <w:qFormat/>
    <w:rsid w:val="008B14D1"/>
    <w:pPr>
      <w:spacing w:before="160" w:line="278" w:lineRule="auto"/>
      <w:jc w:val="center"/>
    </w:pPr>
    <w:rPr>
      <w:i/>
      <w:iCs/>
      <w:color w:val="404040" w:themeColor="text1" w:themeTint="BF"/>
      <w:kern w:val="2"/>
      <w:sz w:val="24"/>
      <w:szCs w:val="24"/>
    </w:rPr>
  </w:style>
  <w:style w:type="character" w:customStyle="1" w:styleId="QuoteChar">
    <w:name w:val="Quote Char"/>
    <w:basedOn w:val="DefaultParagraphFont"/>
    <w:link w:val="Quote"/>
    <w:uiPriority w:val="29"/>
    <w:rsid w:val="008B14D1"/>
    <w:rPr>
      <w:i/>
      <w:iCs/>
      <w:color w:val="404040" w:themeColor="text1" w:themeTint="BF"/>
    </w:rPr>
  </w:style>
  <w:style w:type="paragraph" w:styleId="ListParagraph">
    <w:name w:val="List Paragraph"/>
    <w:uiPriority w:val="34"/>
    <w:qFormat/>
    <w:rsid w:val="008B14D1"/>
    <w:pPr>
      <w:spacing w:line="278" w:lineRule="auto"/>
      <w:ind w:left="720"/>
      <w:contextualSpacing/>
    </w:pPr>
    <w:rPr>
      <w:kern w:val="2"/>
      <w:sz w:val="24"/>
      <w:szCs w:val="24"/>
    </w:rPr>
  </w:style>
  <w:style w:type="character" w:styleId="IntenseEmphasis">
    <w:name w:val="Intense Emphasis"/>
    <w:basedOn w:val="DefaultParagraphFont"/>
    <w:uiPriority w:val="21"/>
    <w:qFormat/>
    <w:rsid w:val="008B14D1"/>
    <w:rPr>
      <w:i/>
      <w:iCs/>
      <w:color w:val="2F5496" w:themeColor="accent1" w:themeShade="BF"/>
    </w:rPr>
  </w:style>
  <w:style w:type="paragraph" w:styleId="IntenseQuote">
    <w:name w:val="Intense Quote"/>
    <w:link w:val="IntenseQuoteChar"/>
    <w:uiPriority w:val="30"/>
    <w:qFormat/>
    <w:rsid w:val="008B14D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rPr>
  </w:style>
  <w:style w:type="character" w:customStyle="1" w:styleId="IntenseQuoteChar">
    <w:name w:val="Intense Quote Char"/>
    <w:basedOn w:val="DefaultParagraphFont"/>
    <w:link w:val="IntenseQuote"/>
    <w:uiPriority w:val="30"/>
    <w:rsid w:val="008B14D1"/>
    <w:rPr>
      <w:i/>
      <w:iCs/>
      <w:color w:val="2F5496" w:themeColor="accent1" w:themeShade="BF"/>
    </w:rPr>
  </w:style>
  <w:style w:type="character" w:styleId="IntenseReference">
    <w:name w:val="Intense Reference"/>
    <w:basedOn w:val="DefaultParagraphFont"/>
    <w:uiPriority w:val="32"/>
    <w:qFormat/>
    <w:rsid w:val="008B14D1"/>
    <w:rPr>
      <w:b/>
      <w:bCs/>
      <w:smallCaps/>
      <w:color w:val="2F5496" w:themeColor="accent1" w:themeShade="BF"/>
      <w:spacing w:val="5"/>
    </w:rPr>
  </w:style>
  <w:style w:type="paragraph" w:styleId="Header">
    <w:name w:val="header"/>
    <w:link w:val="HeaderChar"/>
    <w:uiPriority w:val="99"/>
    <w:unhideWhenUsed/>
    <w:rsid w:val="00294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6A8"/>
    <w:rPr>
      <w:kern w:val="0"/>
      <w:sz w:val="22"/>
      <w:szCs w:val="22"/>
    </w:rPr>
  </w:style>
  <w:style w:type="paragraph" w:styleId="Footer">
    <w:name w:val="footer"/>
    <w:link w:val="FooterChar"/>
    <w:uiPriority w:val="99"/>
    <w:unhideWhenUsed/>
    <w:rsid w:val="00294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6A8"/>
    <w:rPr>
      <w:kern w:val="0"/>
      <w:sz w:val="22"/>
      <w:szCs w:val="22"/>
    </w:rPr>
  </w:style>
  <w:style w:type="paragraph" w:styleId="NormalWeb">
    <w:name w:val="Normal (Web)"/>
    <w:uiPriority w:val="99"/>
    <w:unhideWhenUsed/>
    <w:rsid w:val="00DB1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DB1BC0"/>
    <w:rPr>
      <w:b/>
      <w:bCs/>
    </w:rPr>
  </w:style>
  <w:style w:type="character" w:customStyle="1" w:styleId="apple-converted-space">
    <w:name w:val="apple-converted-space"/>
    <w:basedOn w:val="DefaultParagraphFont"/>
    <w:rsid w:val="00DB1BC0"/>
  </w:style>
  <w:style w:type="paragraph" w:styleId="Subtitle">
    <w:name w:val="Subtitle"/>
    <w:basedOn w:val="Normal"/>
    <w:next w:val="Normal"/>
    <w:uiPriority w:val="11"/>
    <w:qFormat/>
    <w:pPr>
      <w:spacing w:line="278" w:lineRule="auto"/>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znNcnYKx2xO7hqdSkEdzei1rA==">CgMxLjA4AHIhMXJXdW85X0VBa3ZaemhRMTNYM3dDc3BaWUZyRFFwRXEw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1471</Words>
  <Characters>8385</Characters>
  <Application>Microsoft Office Word</Application>
  <DocSecurity>0</DocSecurity>
  <Lines>69</Lines>
  <Paragraphs>19</Paragraphs>
  <ScaleCrop>false</ScaleCrop>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Livschitz</dc:creator>
  <cp:lastModifiedBy>Kaplieva,Ksenia</cp:lastModifiedBy>
  <cp:revision>2</cp:revision>
  <dcterms:created xsi:type="dcterms:W3CDTF">2025-11-03T23:50:00Z</dcterms:created>
  <dcterms:modified xsi:type="dcterms:W3CDTF">2025-11-03T23:50:00Z</dcterms:modified>
</cp:coreProperties>
</file>