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0E4" w:rsidRPr="00C610E4" w:rsidRDefault="00C610E4" w:rsidP="00C610E4">
      <w:pPr>
        <w:spacing w:before="100" w:beforeAutospacing="1" w:after="100" w:afterAutospacing="1" w:line="360" w:lineRule="auto"/>
        <w:ind w:firstLine="709"/>
        <w:contextualSpacing/>
        <w:jc w:val="center"/>
        <w:outlineLvl w:val="0"/>
        <w:rPr>
          <w:rFonts w:ascii="Times New Roman" w:eastAsia="Times New Roman" w:hAnsi="Times New Roman" w:cs="Times New Roman"/>
          <w:b/>
          <w:bCs/>
          <w:color w:val="000000"/>
          <w:kern w:val="36"/>
          <w:sz w:val="32"/>
          <w:szCs w:val="32"/>
          <w:lang w:val="ru-RU" w:eastAsia="ru-RU"/>
          <w14:ligatures w14:val="none"/>
        </w:rPr>
      </w:pPr>
      <w:r w:rsidRPr="00C610E4">
        <w:rPr>
          <w:rFonts w:ascii="Times New Roman" w:eastAsia="Times New Roman" w:hAnsi="Times New Roman" w:cs="Times New Roman"/>
          <w:b/>
          <w:bCs/>
          <w:color w:val="000000"/>
          <w:kern w:val="36"/>
          <w:sz w:val="32"/>
          <w:szCs w:val="32"/>
          <w:lang w:eastAsia="ru-RU"/>
          <w14:ligatures w14:val="none"/>
        </w:rPr>
        <w:t>Toward Metrological Sovereignty in Non-Structured Environments</w:t>
      </w:r>
    </w:p>
    <w:p w:rsidR="00C610E4" w:rsidRDefault="00C610E4"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b/>
          <w:bCs/>
          <w:color w:val="000000"/>
          <w:kern w:val="0"/>
          <w:sz w:val="32"/>
          <w:szCs w:val="32"/>
          <w:lang w:val="ru-RU" w:eastAsia="ru-RU"/>
          <w14:ligatures w14:val="none"/>
        </w:rPr>
      </w:pPr>
      <w:r w:rsidRPr="00C610E4">
        <w:rPr>
          <w:rFonts w:ascii="Times New Roman" w:eastAsia="Times New Roman" w:hAnsi="Times New Roman" w:cs="Times New Roman"/>
          <w:b/>
          <w:bCs/>
          <w:color w:val="000000"/>
          <w:kern w:val="0"/>
          <w:sz w:val="32"/>
          <w:szCs w:val="32"/>
          <w:lang w:eastAsia="ru-RU"/>
          <w14:ligatures w14:val="none"/>
        </w:rPr>
        <w:t>An Adaptive Framework for Optical Distortion Correction in Automotive Cyber-Physical Systems</w:t>
      </w:r>
    </w:p>
    <w:p w:rsidR="00C610E4" w:rsidRPr="00C610E4" w:rsidRDefault="00C610E4"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b/>
          <w:bCs/>
          <w:color w:val="000000"/>
          <w:kern w:val="0"/>
          <w:sz w:val="32"/>
          <w:szCs w:val="32"/>
          <w:lang w:val="ru-RU" w:eastAsia="ru-RU"/>
          <w14:ligatures w14:val="none"/>
        </w:rPr>
      </w:pPr>
    </w:p>
    <w:p w:rsidR="00C610E4" w:rsidRPr="00847914" w:rsidRDefault="00847914" w:rsidP="007E76E2">
      <w:pPr>
        <w:spacing w:before="100" w:beforeAutospacing="1" w:after="100" w:afterAutospacing="1" w:line="360" w:lineRule="auto"/>
        <w:ind w:firstLine="709"/>
        <w:contextualSpacing/>
        <w:jc w:val="center"/>
        <w:rPr>
          <w:rFonts w:ascii="Times New Roman" w:eastAsia="Times New Roman" w:hAnsi="Times New Roman" w:cs="Times New Roman"/>
          <w:b/>
          <w:bCs/>
          <w:color w:val="000000"/>
          <w:kern w:val="0"/>
          <w:sz w:val="28"/>
          <w:szCs w:val="28"/>
          <w:lang w:val="en-US" w:eastAsia="ru-RU"/>
          <w14:ligatures w14:val="none"/>
        </w:rPr>
      </w:pPr>
      <w:r w:rsidRPr="00847914">
        <w:rPr>
          <w:rFonts w:ascii="Times New Roman" w:eastAsia="Times New Roman" w:hAnsi="Times New Roman" w:cs="Times New Roman"/>
          <w:b/>
          <w:bCs/>
          <w:color w:val="000000"/>
          <w:kern w:val="0"/>
          <w:sz w:val="28"/>
          <w:szCs w:val="28"/>
          <w:lang w:val="en-US" w:eastAsia="ru-RU"/>
        </w:rPr>
        <w:t>Popov</w:t>
      </w:r>
      <w:r w:rsidRPr="00847914">
        <w:rPr>
          <w:rFonts w:ascii="Times New Roman" w:eastAsia="Times New Roman" w:hAnsi="Times New Roman" w:cs="Times New Roman"/>
          <w:b/>
          <w:bCs/>
          <w:color w:val="000000"/>
          <w:kern w:val="0"/>
          <w:sz w:val="28"/>
          <w:szCs w:val="28"/>
          <w:lang w:eastAsia="ru-RU"/>
        </w:rPr>
        <w:t xml:space="preserve"> </w:t>
      </w:r>
      <w:r w:rsidRPr="00847914">
        <w:rPr>
          <w:rFonts w:ascii="Times New Roman" w:eastAsia="Times New Roman" w:hAnsi="Times New Roman" w:cs="Times New Roman"/>
          <w:b/>
          <w:bCs/>
          <w:color w:val="000000"/>
          <w:kern w:val="0"/>
          <w:sz w:val="28"/>
          <w:szCs w:val="28"/>
          <w:lang w:val="en-US" w:eastAsia="ru-RU"/>
        </w:rPr>
        <w:t>Evgeny</w:t>
      </w:r>
      <w:r w:rsidR="00C610E4" w:rsidRPr="00C610E4">
        <w:rPr>
          <w:rFonts w:ascii="Times New Roman" w:eastAsia="Times New Roman" w:hAnsi="Times New Roman" w:cs="Times New Roman"/>
          <w:color w:val="000000"/>
          <w:kern w:val="0"/>
          <w:sz w:val="28"/>
          <w:szCs w:val="28"/>
          <w:lang w:eastAsia="ru-RU"/>
          <w14:ligatures w14:val="none"/>
        </w:rPr>
        <w:br/>
      </w:r>
      <w:r w:rsidR="00C610E4" w:rsidRPr="00C610E4">
        <w:rPr>
          <w:rFonts w:ascii="Times New Roman" w:eastAsia="Times New Roman" w:hAnsi="Times New Roman" w:cs="Times New Roman"/>
          <w:color w:val="000000"/>
          <w:kern w:val="0"/>
          <w:lang w:eastAsia="ru-RU"/>
          <w14:ligatures w14:val="none"/>
        </w:rPr>
        <w:t>Researcher in Optical Metrology and Automotive Diagnostic Systems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sz w:val="28"/>
          <w:szCs w:val="28"/>
          <w:lang w:val="en-US" w:eastAsia="ru-RU"/>
          <w14:ligatures w14:val="none"/>
        </w:rPr>
      </w:pPr>
    </w:p>
    <w:p w:rsidR="00C610E4" w:rsidRPr="00C610E4" w:rsidRDefault="00C610E4"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b/>
          <w:bCs/>
          <w:i/>
          <w:iCs/>
          <w:color w:val="000000"/>
          <w:kern w:val="0"/>
          <w:lang w:eastAsia="ru-RU"/>
          <w14:ligatures w14:val="none"/>
        </w:rPr>
      </w:pPr>
      <w:r w:rsidRPr="00C610E4">
        <w:rPr>
          <w:rFonts w:ascii="Times New Roman" w:eastAsia="Times New Roman" w:hAnsi="Times New Roman" w:cs="Times New Roman"/>
          <w:b/>
          <w:bCs/>
          <w:i/>
          <w:iCs/>
          <w:color w:val="000000"/>
          <w:kern w:val="0"/>
          <w:lang w:eastAsia="ru-RU"/>
          <w14:ligatures w14:val="none"/>
        </w:rPr>
        <w:t>Abstract</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sz w:val="20"/>
          <w:szCs w:val="20"/>
          <w:lang w:eastAsia="ru-RU"/>
          <w14:ligatures w14:val="none"/>
        </w:rPr>
      </w:pPr>
      <w:r w:rsidRPr="00C610E4">
        <w:rPr>
          <w:rFonts w:ascii="Times New Roman" w:eastAsia="Times New Roman" w:hAnsi="Times New Roman" w:cs="Times New Roman"/>
          <w:color w:val="000000"/>
          <w:kern w:val="0"/>
          <w:sz w:val="20"/>
          <w:szCs w:val="20"/>
          <w:lang w:eastAsia="ru-RU"/>
          <w14:ligatures w14:val="none"/>
        </w:rPr>
        <w:t>The reliability of optical measurements has become a critical constraint in modern automotive diagnostic systems. While advances in computer vision and sensor resolution have significantly improved perceptual capabilities, measurement accuracy and reproducibility remain highly sensitive to environmental variability when optical systems are deployed outside controlled laboratory conditions. This discrepancy creates a persistent metrological gap between laboratory-grade precision and service-level operation.</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sz w:val="20"/>
          <w:szCs w:val="20"/>
          <w:lang w:eastAsia="ru-RU"/>
          <w14:ligatures w14:val="none"/>
        </w:rPr>
      </w:pPr>
      <w:r w:rsidRPr="00C610E4">
        <w:rPr>
          <w:rFonts w:ascii="Times New Roman" w:eastAsia="Times New Roman" w:hAnsi="Times New Roman" w:cs="Times New Roman"/>
          <w:color w:val="000000"/>
          <w:kern w:val="0"/>
          <w:sz w:val="20"/>
          <w:szCs w:val="20"/>
          <w:lang w:eastAsia="ru-RU"/>
          <w14:ligatures w14:val="none"/>
        </w:rPr>
        <w:t>In this paper, I present an adaptive calibration and photometric normalization framework designed for optical measurement systems operating in non-structured automotive environments. The proposed approach integrates continuous geometric recalibration, context-aware photometric correction, and uncertainty-aware data normalization into a unified adaptive architecture. Particular attention is given to scenarios involving non-standard vehicle geometries and heterogeneous surface materials, where conventional static calibration techniques exhibit pronounced instability.</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sz w:val="20"/>
          <w:szCs w:val="20"/>
          <w:lang w:eastAsia="ru-RU"/>
          <w14:ligatures w14:val="none"/>
        </w:rPr>
      </w:pPr>
      <w:r w:rsidRPr="00C610E4">
        <w:rPr>
          <w:rFonts w:ascii="Times New Roman" w:eastAsia="Times New Roman" w:hAnsi="Times New Roman" w:cs="Times New Roman"/>
          <w:color w:val="000000"/>
          <w:kern w:val="0"/>
          <w:sz w:val="20"/>
          <w:szCs w:val="20"/>
          <w:lang w:eastAsia="ru-RU"/>
          <w14:ligatures w14:val="none"/>
        </w:rPr>
        <w:t>Experimental evaluation demonstrates a substantial improvement in measurement stability and reproducibility under real-world conditions. The proposed framework establishes a robust metrological layer suitable for integration into automotive cyber-physical systems, digital twin architectures, and data-driven diagnostic pipelines.</w:t>
      </w:r>
    </w:p>
    <w:p w:rsidR="00C610E4" w:rsidRP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Pr="00C610E4" w:rsidRDefault="00C610E4" w:rsidP="00C610E4">
      <w:pPr>
        <w:spacing w:before="100" w:beforeAutospacing="1" w:after="100" w:afterAutospacing="1" w:line="360" w:lineRule="auto"/>
        <w:ind w:firstLine="709"/>
        <w:contextualSpacing/>
        <w:outlineLvl w:val="1"/>
        <w:rPr>
          <w:rFonts w:ascii="Times New Roman" w:eastAsia="Times New Roman" w:hAnsi="Times New Roman" w:cs="Times New Roman"/>
          <w:b/>
          <w:bCs/>
          <w:color w:val="000000"/>
          <w:kern w:val="0"/>
          <w:sz w:val="20"/>
          <w:szCs w:val="20"/>
          <w:lang w:val="ru-RU" w:eastAsia="ru-RU"/>
          <w14:ligatures w14:val="none"/>
        </w:rPr>
      </w:pPr>
      <w:r w:rsidRPr="00C610E4">
        <w:rPr>
          <w:rFonts w:ascii="Times New Roman" w:eastAsia="Times New Roman" w:hAnsi="Times New Roman" w:cs="Times New Roman"/>
          <w:b/>
          <w:bCs/>
          <w:color w:val="000000"/>
          <w:kern w:val="0"/>
          <w:sz w:val="20"/>
          <w:szCs w:val="20"/>
          <w:lang w:eastAsia="ru-RU"/>
          <w14:ligatures w14:val="none"/>
        </w:rPr>
        <w:t>Keywords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sz w:val="20"/>
          <w:szCs w:val="20"/>
          <w:lang w:eastAsia="ru-RU"/>
          <w14:ligatures w14:val="none"/>
        </w:rPr>
      </w:pPr>
      <w:r w:rsidRPr="00C610E4">
        <w:rPr>
          <w:rFonts w:ascii="Times New Roman" w:eastAsia="Times New Roman" w:hAnsi="Times New Roman" w:cs="Times New Roman"/>
          <w:color w:val="000000"/>
          <w:kern w:val="0"/>
          <w:sz w:val="20"/>
          <w:szCs w:val="20"/>
          <w:lang w:eastAsia="ru-RU"/>
          <w14:ligatures w14:val="none"/>
        </w:rPr>
        <w:t>Optical metrology; adaptive calibration; distortion correction; measurement uncertainty; computer vision; automotive diagnostics; cyber-physical systems</w:t>
      </w:r>
    </w:p>
    <w:p w:rsid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C610E4" w:rsidRPr="00C610E4" w:rsidRDefault="00C610E4" w:rsidP="00C610E4">
      <w:pPr>
        <w:spacing w:line="360" w:lineRule="auto"/>
        <w:ind w:firstLine="709"/>
        <w:contextualSpacing/>
        <w:jc w:val="both"/>
        <w:rPr>
          <w:rFonts w:ascii="Times New Roman" w:eastAsia="Times New Roman" w:hAnsi="Times New Roman" w:cs="Times New Roman"/>
          <w:kern w:val="0"/>
          <w:sz w:val="28"/>
          <w:szCs w:val="28"/>
          <w:lang w:val="ru-RU" w:eastAsia="ru-RU"/>
          <w14:ligatures w14:val="none"/>
        </w:rPr>
      </w:pPr>
    </w:p>
    <w:p w:rsidR="007E76E2" w:rsidRDefault="007E76E2"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lang w:val="ru-RU" w:eastAsia="ru-RU"/>
          <w14:ligatures w14:val="none"/>
        </w:rPr>
      </w:pPr>
    </w:p>
    <w:p w:rsidR="00C610E4" w:rsidRDefault="00C610E4"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lastRenderedPageBreak/>
        <w:t>1. Introduction</w:t>
      </w:r>
    </w:p>
    <w:p w:rsidR="00C610E4" w:rsidRPr="00C610E4" w:rsidRDefault="00C610E4" w:rsidP="00C610E4">
      <w:pPr>
        <w:spacing w:before="100" w:beforeAutospacing="1" w:after="100" w:afterAutospacing="1" w:line="360" w:lineRule="auto"/>
        <w:ind w:firstLine="709"/>
        <w:contextualSpacing/>
        <w:jc w:val="both"/>
        <w:outlineLvl w:val="1"/>
        <w:rPr>
          <w:rFonts w:ascii="Times New Roman" w:eastAsia="Times New Roman" w:hAnsi="Times New Roman" w:cs="Times New Roman"/>
          <w:color w:val="000000"/>
          <w:kern w:val="0"/>
          <w:lang w:val="ru-RU" w:eastAsia="ru-RU"/>
          <w14:ligatures w14:val="none"/>
        </w:rPr>
      </w:pP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Optical measurement systems have become a central component of contemporary automotive diagnostics, enabling non-contact inspection of vehicle geometry, surface condition, and structural alignment. Their adoption has been accelerated by improvements in sensor resolution, computational efficiency, and image-processing algorithms. As a result, optical diagnostics are increasingly relied upon in safety-critical and decision-support workflows.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Despite these advances, a fundamental limitation persists. Most optical measurement methodologies were developed under assumptions that reflect laboratory or manufacturing environments, where illumination, sensor positioning, and object properties are either controlled or slowly varying. In contrast, automotive service environments are inherently non-structured. Illumination conditions fluctuate, sensors are frequently repositioned, and inspected objects exhibit wide variability in geometry and surface reflectance.</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This mismatch between methodological assumptions and operational reality leads to degraded measurement reproducibility. In practice, optical diagnostics often achieve high visual fidelity while failing to guarantee metrological consistency. As diagnostic systems become integrated into larger cyber-physical architectures, this instability propagates upward, undermining the reliability of higher-level analytical and decision-making processes.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The objective of this work is to address this limitation by developing an adaptive metrological framework capable of maintaining measurement integrity in non-structured automotive environments. Rather than treating calibration as a static preprocessing step, the proposed approach embeds calibration and correction mechanisms directly into the operational measurement loop.</w:t>
      </w:r>
    </w:p>
    <w:p w:rsidR="00C610E4" w:rsidRPr="00C610E4" w:rsidRDefault="00C610E4" w:rsidP="00C610E4">
      <w:pPr>
        <w:spacing w:line="360" w:lineRule="auto"/>
        <w:ind w:firstLine="709"/>
        <w:contextualSpacing/>
        <w:jc w:val="both"/>
        <w:rPr>
          <w:rFonts w:ascii="Times New Roman" w:eastAsia="Times New Roman" w:hAnsi="Times New Roman" w:cs="Times New Roman"/>
          <w:kern w:val="0"/>
          <w:lang w:val="ru-RU" w:eastAsia="ru-RU"/>
          <w14:ligatures w14:val="none"/>
        </w:rPr>
      </w:pPr>
    </w:p>
    <w:p w:rsidR="00C610E4" w:rsidRDefault="00C610E4"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2. Static Calibration and Its Limitations in Service Environments</w:t>
      </w:r>
    </w:p>
    <w:p w:rsidR="00C610E4" w:rsidRPr="00C610E4" w:rsidRDefault="00C610E4" w:rsidP="00C610E4">
      <w:pPr>
        <w:spacing w:before="100" w:beforeAutospacing="1" w:after="100" w:afterAutospacing="1" w:line="360" w:lineRule="auto"/>
        <w:ind w:firstLine="709"/>
        <w:contextualSpacing/>
        <w:jc w:val="both"/>
        <w:outlineLvl w:val="1"/>
        <w:rPr>
          <w:rFonts w:ascii="Times New Roman" w:eastAsia="Times New Roman" w:hAnsi="Times New Roman" w:cs="Times New Roman"/>
          <w:color w:val="000000"/>
          <w:kern w:val="0"/>
          <w:lang w:val="ru-RU" w:eastAsia="ru-RU"/>
          <w14:ligatures w14:val="none"/>
        </w:rPr>
      </w:pP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Conventional optical calibration techniques, including widely adopted planar and multi-view methods, assume temporal stability of intrinsic and extrinsic sensor parameters. These assumptions are reasonable in controlled settings but are routinely violated in service-level diagnostics.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Thermal expansion of sensor housings, mechanical vibrations, and repeated changes in sensor placement introduce small but cumulative deviations in projection geometry. At the same time, heterogeneous surface materials such as matte coatings, composite panels, and high-gloss finishes introduce photometric distortions that are not accounted for in static calibration models.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Importantly, these effects do not manifest as isolated errors but interact in complex ways. A minor geometric misalignment may amplify photometric artifacts, while illumination changes can alter the effective spatial resolution of the sensor. As a result, repeated measurements of the same object under nominally identical conditions can yield significantly different results.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lastRenderedPageBreak/>
        <w:t>These observations motivate a shift from static calibration toward adaptive metrology, where calibration parameters are treated as time-dependent variables continuously adjusted in response to environmental and contextual cues.</w:t>
      </w:r>
    </w:p>
    <w:p w:rsidR="00C610E4" w:rsidRPr="00C610E4" w:rsidRDefault="00C610E4" w:rsidP="00C610E4">
      <w:pPr>
        <w:spacing w:line="360" w:lineRule="auto"/>
        <w:ind w:firstLine="709"/>
        <w:contextualSpacing/>
        <w:jc w:val="both"/>
        <w:rPr>
          <w:rFonts w:ascii="Times New Roman" w:eastAsia="Times New Roman" w:hAnsi="Times New Roman" w:cs="Times New Roman"/>
          <w:kern w:val="0"/>
          <w:lang w:val="ru-RU" w:eastAsia="ru-RU"/>
          <w14:ligatures w14:val="none"/>
        </w:rPr>
      </w:pPr>
    </w:p>
    <w:p w:rsidR="00C610E4" w:rsidRDefault="00C610E4"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3. Sources of Measurement Error and Uncertainty</w:t>
      </w:r>
    </w:p>
    <w:p w:rsidR="00C610E4" w:rsidRPr="00C610E4" w:rsidRDefault="00C610E4" w:rsidP="00C610E4">
      <w:pPr>
        <w:spacing w:before="100" w:beforeAutospacing="1" w:after="100" w:afterAutospacing="1" w:line="360" w:lineRule="auto"/>
        <w:ind w:firstLine="709"/>
        <w:contextualSpacing/>
        <w:jc w:val="both"/>
        <w:outlineLvl w:val="1"/>
        <w:rPr>
          <w:rFonts w:ascii="Times New Roman" w:eastAsia="Times New Roman" w:hAnsi="Times New Roman" w:cs="Times New Roman"/>
          <w:color w:val="000000"/>
          <w:kern w:val="0"/>
          <w:lang w:val="ru-RU" w:eastAsia="ru-RU"/>
          <w14:ligatures w14:val="none"/>
        </w:rPr>
      </w:pP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To design an effective adaptive framework, it is necessary to explicitly characterize the dominant sources of error in service-level optical diagnostics.</w:t>
      </w:r>
    </w:p>
    <w:p w:rsidR="00C610E4" w:rsidRPr="00C610E4" w:rsidRDefault="00C610E4" w:rsidP="00C610E4">
      <w:pPr>
        <w:spacing w:before="100" w:beforeAutospacing="1" w:after="100" w:afterAutospacing="1" w:line="360" w:lineRule="auto"/>
        <w:ind w:firstLine="709"/>
        <w:contextualSpacing/>
        <w:jc w:val="both"/>
        <w:outlineLvl w:val="2"/>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3.1 Geometric Instability</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Geometric errors arise from lens distortion, perspective effects, and variations in sensor orientation and position. In service environments, cameras and optical modules are rarely fixed in permanent, rigid configurations. Even small deviations in mounting or alignment can introduce measurable errors in reconstructed geometry.</w:t>
      </w:r>
    </w:p>
    <w:p w:rsidR="00C610E4" w:rsidRPr="00C610E4" w:rsidRDefault="00C610E4" w:rsidP="00C610E4">
      <w:pPr>
        <w:spacing w:before="100" w:beforeAutospacing="1" w:after="100" w:afterAutospacing="1" w:line="360" w:lineRule="auto"/>
        <w:ind w:firstLine="709"/>
        <w:contextualSpacing/>
        <w:jc w:val="both"/>
        <w:outlineLvl w:val="2"/>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3.2 Photometric Variability</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Photometric errors result from non-uniform illumination, reflections, glare, and surface-dependent reflectance properties. Modern vehicles increasingly incorporate materials with complex optical behavior, including carbon fiber, composite laminates, and multi-layer coatings. These materials challenge standard intensity-based correction techniques.</w:t>
      </w:r>
    </w:p>
    <w:p w:rsidR="00C610E4" w:rsidRPr="00C610E4" w:rsidRDefault="00C610E4" w:rsidP="00C610E4">
      <w:pPr>
        <w:spacing w:before="100" w:beforeAutospacing="1" w:after="100" w:afterAutospacing="1" w:line="360" w:lineRule="auto"/>
        <w:ind w:firstLine="709"/>
        <w:contextualSpacing/>
        <w:jc w:val="both"/>
        <w:outlineLvl w:val="2"/>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3.3 Environmental Noise</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Service environments are characterized by uncontrolled background conditions, including mixed light sources, shadowing, and mechanical vibrations. These factors introduce stochastic noise that reduces measurement repeatability and complicates error modeling.</w:t>
      </w:r>
    </w:p>
    <w:p w:rsidR="00C610E4" w:rsidRPr="00C610E4" w:rsidRDefault="00C610E4" w:rsidP="00C610E4">
      <w:pPr>
        <w:spacing w:before="100" w:beforeAutospacing="1" w:after="100" w:afterAutospacing="1" w:line="360" w:lineRule="auto"/>
        <w:ind w:firstLine="709"/>
        <w:contextualSpacing/>
        <w:jc w:val="both"/>
        <w:outlineLvl w:val="2"/>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3.4 Non-Stationary Object Geometry</w:t>
      </w:r>
    </w:p>
    <w:p w:rsid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Vehicle modifications, repairs, and component replacements introduce deviations from nominal geometric models. In such cases, reliance on static reference templates leads to systematic bias rather than random error.</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p>
    <w:p w:rsidR="00C610E4" w:rsidRDefault="00C610E4"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4. Adaptive Calibration and Photometric Normalization Framework (Expanded)</w:t>
      </w:r>
    </w:p>
    <w:p w:rsidR="00C610E4" w:rsidRPr="00C610E4" w:rsidRDefault="00C610E4" w:rsidP="00C610E4">
      <w:pPr>
        <w:spacing w:before="100" w:beforeAutospacing="1" w:after="100" w:afterAutospacing="1" w:line="360" w:lineRule="auto"/>
        <w:ind w:firstLine="709"/>
        <w:contextualSpacing/>
        <w:jc w:val="both"/>
        <w:outlineLvl w:val="1"/>
        <w:rPr>
          <w:rFonts w:ascii="Times New Roman" w:eastAsia="Times New Roman" w:hAnsi="Times New Roman" w:cs="Times New Roman"/>
          <w:color w:val="000000"/>
          <w:kern w:val="0"/>
          <w:lang w:val="ru-RU" w:eastAsia="ru-RU"/>
          <w14:ligatures w14:val="none"/>
        </w:rPr>
      </w:pP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The Adaptive Calibration and Photometric Normalization (ACPN) framework is designed as a continuous feedback system that maintains measurement integrity under non-structured conditions. Unlike static approaches, ACPN treats calibration parameters as time-dependent variables that evolve in response to environmental and operational changes.</w:t>
      </w:r>
    </w:p>
    <w:p w:rsidR="00C610E4" w:rsidRPr="00C610E4" w:rsidRDefault="00C610E4" w:rsidP="00C610E4">
      <w:pPr>
        <w:spacing w:before="100" w:beforeAutospacing="1" w:after="100" w:afterAutospacing="1" w:line="360" w:lineRule="auto"/>
        <w:ind w:firstLine="709"/>
        <w:contextualSpacing/>
        <w:jc w:val="both"/>
        <w:outlineLvl w:val="2"/>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4.1 Dynamic Geometric Recalibration and Recursive Estimation</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The geometric component of the framework is based on recursive parameter estimation. To remain responsive to sensor repositioning while suppressing transient mechanical noise, I employ a Kalman-based transition model for both intrinsic parameters and extrinsic sensor pose.</w:t>
      </w:r>
    </w:p>
    <w:p w:rsidR="006D51B4" w:rsidRPr="006D51B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6D51B4">
        <w:rPr>
          <w:rFonts w:ascii="Times New Roman" w:eastAsia="Times New Roman" w:hAnsi="Times New Roman" w:cs="Times New Roman"/>
          <w:color w:val="000000"/>
          <w:kern w:val="0"/>
          <w:lang w:eastAsia="ru-RU"/>
          <w14:ligatures w14:val="none"/>
        </w:rPr>
        <w:lastRenderedPageBreak/>
        <w:t>The system state vector x_k, which includes the intrinsic matrix K and extrinsic parameters [R | t], is updated at each time step k as:</w:t>
      </w:r>
    </w:p>
    <w:p w:rsidR="006D51B4" w:rsidRPr="006D51B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p>
    <w:p w:rsidR="006D51B4" w:rsidRPr="006D51B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6D51B4">
        <w:rPr>
          <w:rFonts w:ascii="Times New Roman" w:eastAsia="Times New Roman" w:hAnsi="Times New Roman" w:cs="Times New Roman"/>
          <w:color w:val="000000"/>
          <w:kern w:val="0"/>
          <w:lang w:eastAsia="ru-RU"/>
          <w14:ligatures w14:val="none"/>
        </w:rPr>
        <w:t>x_k = A x_(k-1) + w_k</w:t>
      </w:r>
    </w:p>
    <w:p w:rsidR="006D51B4" w:rsidRPr="006D51B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6D51B4">
        <w:rPr>
          <w:rFonts w:ascii="Times New Roman" w:eastAsia="Times New Roman" w:hAnsi="Times New Roman" w:cs="Times New Roman"/>
          <w:color w:val="000000"/>
          <w:kern w:val="0"/>
          <w:lang w:eastAsia="ru-RU"/>
          <w14:ligatures w14:val="none"/>
        </w:rPr>
        <w:t>z_k = H x_k + v_k</w:t>
      </w:r>
    </w:p>
    <w:p w:rsidR="006D51B4" w:rsidRPr="006D51B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p>
    <w:p w:rsidR="00C610E4" w:rsidRPr="00C610E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6D51B4">
        <w:rPr>
          <w:rFonts w:ascii="Times New Roman" w:eastAsia="Times New Roman" w:hAnsi="Times New Roman" w:cs="Times New Roman"/>
          <w:color w:val="000000"/>
          <w:kern w:val="0"/>
          <w:lang w:eastAsia="ru-RU"/>
          <w14:ligatures w14:val="none"/>
        </w:rPr>
        <w:t>where w_k and v_k represent process and measurement noise, respectively. This formulation allows the framework to smooth calibration drift caused by thermal expansion, mechanical vibration, or minor sensor displacement, while preserving sensitivity to persistent changes in sensor configuration.</w:t>
      </w:r>
      <w:r w:rsidR="00C610E4" w:rsidRPr="00C610E4">
        <w:rPr>
          <w:rFonts w:ascii="Times New Roman" w:eastAsia="Times New Roman" w:hAnsi="Times New Roman" w:cs="Times New Roman"/>
          <w:color w:val="000000"/>
          <w:kern w:val="0"/>
          <w:lang w:eastAsia="ru-RU"/>
          <w14:ligatures w14:val="none"/>
        </w:rPr>
        <w:t>By embedding this recursive estimation directly into the measurement loop, the system maintains geometric consistency without requiring dedicated calibration targets or workflow interruptions.</w:t>
      </w:r>
    </w:p>
    <w:p w:rsidR="00C610E4" w:rsidRPr="00C610E4" w:rsidRDefault="00C610E4" w:rsidP="00C610E4">
      <w:pPr>
        <w:spacing w:before="100" w:beforeAutospacing="1" w:after="100" w:afterAutospacing="1" w:line="360" w:lineRule="auto"/>
        <w:ind w:firstLine="709"/>
        <w:contextualSpacing/>
        <w:jc w:val="both"/>
        <w:outlineLvl w:val="2"/>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4.2 Bidirectional Reflectance Distribution Function Estimation</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Photometric correction within ACPN extends beyond global brightness normalization. The framework performs online estimation of surface reflectance behavior using a simplified Bidirectional Reflectance Distribution Function (BRDF) model.</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This capability is critical when measurements transition between surfaces with fundamentally different optical properties, such as specular metallic panels and diffuse composite materials. By estimating the local reflectance parameter ρ, the system applies a spatially varying gain mask G(x,</w:t>
      </w:r>
      <w:r w:rsidR="006D51B4">
        <w:rPr>
          <w:rFonts w:ascii="Times New Roman" w:eastAsia="Times New Roman" w:hAnsi="Times New Roman" w:cs="Times New Roman"/>
          <w:color w:val="000000"/>
          <w:kern w:val="0"/>
          <w:lang w:eastAsia="ru-RU"/>
          <w14:ligatures w14:val="none"/>
        </w:rPr>
        <w:t xml:space="preserve"> </w:t>
      </w:r>
      <w:r w:rsidRPr="00C610E4">
        <w:rPr>
          <w:rFonts w:ascii="Times New Roman" w:eastAsia="Times New Roman" w:hAnsi="Times New Roman" w:cs="Times New Roman"/>
          <w:color w:val="000000"/>
          <w:kern w:val="0"/>
          <w:lang w:eastAsia="ru-RU"/>
          <w14:ligatures w14:val="none"/>
        </w:rPr>
        <w:t>y) that suppresses glare and prevents pixel saturation in high-reflectance regions.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As a result, diagnostically relevant features are preserved across heterogeneous surfaces without introducing artificial contrast or loss of spatial detail.</w:t>
      </w:r>
    </w:p>
    <w:p w:rsidR="00C610E4" w:rsidRPr="00C610E4" w:rsidRDefault="00C610E4" w:rsidP="00C610E4">
      <w:pPr>
        <w:spacing w:line="360" w:lineRule="auto"/>
        <w:ind w:firstLine="709"/>
        <w:contextualSpacing/>
        <w:jc w:val="both"/>
        <w:rPr>
          <w:rFonts w:ascii="Times New Roman" w:eastAsia="Times New Roman" w:hAnsi="Times New Roman" w:cs="Times New Roman"/>
          <w:kern w:val="0"/>
          <w:lang w:val="ru-RU" w:eastAsia="ru-RU"/>
          <w14:ligatures w14:val="none"/>
        </w:rPr>
      </w:pPr>
    </w:p>
    <w:p w:rsidR="00C610E4" w:rsidRDefault="00C610E4"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5. Measurement Uncertainty and Error Propagation</w:t>
      </w:r>
    </w:p>
    <w:p w:rsidR="00C610E4" w:rsidRPr="00C610E4" w:rsidRDefault="00C610E4" w:rsidP="00C610E4">
      <w:pPr>
        <w:spacing w:before="100" w:beforeAutospacing="1" w:after="100" w:afterAutospacing="1" w:line="360" w:lineRule="auto"/>
        <w:ind w:firstLine="709"/>
        <w:contextualSpacing/>
        <w:jc w:val="both"/>
        <w:outlineLvl w:val="1"/>
        <w:rPr>
          <w:rFonts w:ascii="Times New Roman" w:eastAsia="Times New Roman" w:hAnsi="Times New Roman" w:cs="Times New Roman"/>
          <w:color w:val="000000"/>
          <w:kern w:val="0"/>
          <w:lang w:val="ru-RU" w:eastAsia="ru-RU"/>
          <w14:ligatures w14:val="none"/>
        </w:rPr>
      </w:pP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A central contribution of the proposed framework is the explicit treatment of measurement uncertainty. Conventional diagnostic systems typically interpret measurements as deterministic point values. In contrast, ACPN represents each measurement as a probabilistic entity with an associated confidence estimate.</w:t>
      </w:r>
    </w:p>
    <w:p w:rsidR="006D51B4" w:rsidRPr="006D51B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6D51B4">
        <w:rPr>
          <w:rFonts w:ascii="Times New Roman" w:eastAsia="Times New Roman" w:hAnsi="Times New Roman" w:cs="Times New Roman"/>
          <w:color w:val="000000"/>
          <w:kern w:val="0"/>
          <w:lang w:eastAsia="ru-RU"/>
          <w14:ligatures w14:val="none"/>
        </w:rPr>
        <w:t>Let the measurement be defined as y = f(x, P), where x denotes observed feature coordinates and P represents calibration parameters. The covariance of the resulting measurement Σ_y is propagated as:</w:t>
      </w:r>
    </w:p>
    <w:p w:rsidR="006D51B4" w:rsidRPr="006D51B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p>
    <w:p w:rsidR="006D51B4" w:rsidRPr="006D51B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6D51B4">
        <w:rPr>
          <w:rFonts w:ascii="Times New Roman" w:eastAsia="Times New Roman" w:hAnsi="Times New Roman" w:cs="Times New Roman"/>
          <w:color w:val="000000"/>
          <w:kern w:val="0"/>
          <w:lang w:eastAsia="ru-RU"/>
          <w14:ligatures w14:val="none"/>
        </w:rPr>
        <w:t>Σ_y = J_x Σ_x J_x^T + J_P Σ_P J_P^T</w:t>
      </w:r>
    </w:p>
    <w:p w:rsidR="006D51B4" w:rsidRPr="006D51B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p>
    <w:p w:rsidR="00C610E4" w:rsidRPr="00C610E4" w:rsidRDefault="006D51B4" w:rsidP="006D51B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6D51B4">
        <w:rPr>
          <w:rFonts w:ascii="Times New Roman" w:eastAsia="Times New Roman" w:hAnsi="Times New Roman" w:cs="Times New Roman"/>
          <w:color w:val="000000"/>
          <w:kern w:val="0"/>
          <w:lang w:eastAsia="ru-RU"/>
          <w14:ligatures w14:val="none"/>
        </w:rPr>
        <w:t>where J_x and J_P are the Jacobians with respect to feature coordinates and calibration parameters, respectively. Preserving Σ_y allows the cyber-physical system to evaluate not only the measured value but also its reliability</w:t>
      </w:r>
      <w:r w:rsidR="00C610E4" w:rsidRPr="00C610E4">
        <w:rPr>
          <w:rFonts w:ascii="Times New Roman" w:eastAsia="Times New Roman" w:hAnsi="Times New Roman" w:cs="Times New Roman"/>
          <w:color w:val="000000"/>
          <w:kern w:val="0"/>
          <w:lang w:eastAsia="ru-RU"/>
          <w14:ligatures w14:val="none"/>
        </w:rPr>
        <w:t>. In safety-critical diagnostic scenarios, this prevents decision-making based on measurements with unacceptably high variance and supports uncertainty-aware reasoning at higher system levels.</w:t>
      </w:r>
    </w:p>
    <w:p w:rsidR="00C610E4" w:rsidRPr="00C610E4" w:rsidRDefault="00C610E4" w:rsidP="00C610E4">
      <w:pPr>
        <w:spacing w:line="360" w:lineRule="auto"/>
        <w:ind w:firstLine="709"/>
        <w:contextualSpacing/>
        <w:jc w:val="both"/>
        <w:rPr>
          <w:rFonts w:ascii="Times New Roman" w:eastAsia="Times New Roman" w:hAnsi="Times New Roman" w:cs="Times New Roman"/>
          <w:kern w:val="0"/>
          <w:lang w:val="en-US" w:eastAsia="ru-RU"/>
          <w14:ligatures w14:val="none"/>
        </w:rPr>
      </w:pPr>
    </w:p>
    <w:p w:rsidR="00C610E4" w:rsidRDefault="00C610E4"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lastRenderedPageBreak/>
        <w:t>6. Experimental Evaluation: Benchmarking and Case Studies</w:t>
      </w:r>
    </w:p>
    <w:p w:rsidR="00C610E4" w:rsidRPr="00C610E4" w:rsidRDefault="00C610E4" w:rsidP="00C610E4">
      <w:pPr>
        <w:spacing w:before="100" w:beforeAutospacing="1" w:after="100" w:afterAutospacing="1" w:line="360" w:lineRule="auto"/>
        <w:ind w:firstLine="709"/>
        <w:contextualSpacing/>
        <w:jc w:val="both"/>
        <w:outlineLvl w:val="1"/>
        <w:rPr>
          <w:rFonts w:ascii="Times New Roman" w:eastAsia="Times New Roman" w:hAnsi="Times New Roman" w:cs="Times New Roman"/>
          <w:color w:val="000000"/>
          <w:kern w:val="0"/>
          <w:lang w:val="ru-RU" w:eastAsia="ru-RU"/>
          <w14:ligatures w14:val="none"/>
        </w:rPr>
      </w:pPr>
    </w:p>
    <w:p w:rsid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The ACPN framework was evaluated across 500 diagnostic cycles using a high-precision laser tracker as the reference baseline. The experiments were conducted under conditions representative of real automotive service environments.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p>
    <w:p w:rsid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Case A: Thermal Drift.</w:t>
      </w:r>
    </w:p>
    <w:p w:rsid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br/>
        <w:t>Under a controlled temperature increase of 10 °C, static calibration methods exhibited a cumulative error growth of approximately 1.1 mm. With ACPN enabled, measurement deviation remained within 0.08 mm due to continuous intrinsic parameter adaptation.</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p>
    <w:p w:rsid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Case B: Composite Materials.</w:t>
      </w:r>
    </w:p>
    <w:p w:rsid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br/>
        <w:t>When inspecting carbon-fiber surfaces, feature detection stability increased from 58% to 94% following photometric normalization. This improvement was primarily attributed to BRDF-based glare suppression.</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p>
    <w:p w:rsid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Case C: Non-Standard Geometry.</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br/>
        <w:t>For vehicles with modified suspension and aerodynamic components, non-rigid registration reduced systematic geometric bias by approximately 70%, enabling consistent first-pass diagnostic results without manual correction.</w:t>
      </w:r>
    </w:p>
    <w:p w:rsidR="00C610E4" w:rsidRPr="00C610E4" w:rsidRDefault="00C610E4" w:rsidP="00C610E4">
      <w:pPr>
        <w:spacing w:line="360" w:lineRule="auto"/>
        <w:ind w:firstLine="709"/>
        <w:contextualSpacing/>
        <w:jc w:val="both"/>
        <w:rPr>
          <w:rFonts w:ascii="Times New Roman" w:eastAsia="Times New Roman" w:hAnsi="Times New Roman" w:cs="Times New Roman"/>
          <w:kern w:val="0"/>
          <w:lang w:val="ru-RU" w:eastAsia="ru-RU"/>
          <w14:ligatures w14:val="none"/>
        </w:rPr>
      </w:pPr>
    </w:p>
    <w:p w:rsidR="00C610E4" w:rsidRDefault="00C610E4" w:rsidP="00C610E4">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7. Discussion: The Metrological Layer as a Trust Anchor</w:t>
      </w:r>
    </w:p>
    <w:p w:rsidR="00C610E4" w:rsidRPr="00C610E4" w:rsidRDefault="00C610E4" w:rsidP="00C610E4">
      <w:pPr>
        <w:spacing w:before="100" w:beforeAutospacing="1" w:after="100" w:afterAutospacing="1" w:line="360" w:lineRule="auto"/>
        <w:ind w:firstLine="709"/>
        <w:contextualSpacing/>
        <w:jc w:val="both"/>
        <w:outlineLvl w:val="1"/>
        <w:rPr>
          <w:rFonts w:ascii="Times New Roman" w:eastAsia="Times New Roman" w:hAnsi="Times New Roman" w:cs="Times New Roman"/>
          <w:color w:val="000000"/>
          <w:kern w:val="0"/>
          <w:lang w:val="ru-RU" w:eastAsia="ru-RU"/>
          <w14:ligatures w14:val="none"/>
        </w:rPr>
      </w:pP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The experimental results support the concept of a dedicated metrological layer within automotive cyber-physical systems. In data-driven industrial architectures, measurement data serves as the foundation for all downstream processes. Distorted or unstable measurements therefore represent not only technical inaccuracies but systemic risk.</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By stabilizing measurements at the source and explicitly quantifying uncertainty, the metrological layer functions as a trust anchor for higher-level analytics. This role is particularly critical for digital twin architectures, where synchronization between the physical system and its digital representation depends on metrically reliable inputs.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The proposed framework ensures that the real-to-digital interface remains resilient to environmental variability inherent in real-world service environments.</w:t>
      </w:r>
    </w:p>
    <w:p w:rsidR="00C610E4" w:rsidRPr="00C610E4" w:rsidRDefault="00C610E4" w:rsidP="00C610E4">
      <w:pPr>
        <w:spacing w:line="360" w:lineRule="auto"/>
        <w:ind w:firstLine="709"/>
        <w:contextualSpacing/>
        <w:jc w:val="both"/>
        <w:rPr>
          <w:rFonts w:ascii="Times New Roman" w:eastAsia="Times New Roman" w:hAnsi="Times New Roman" w:cs="Times New Roman"/>
          <w:kern w:val="0"/>
          <w:lang w:val="ru-RU" w:eastAsia="ru-RU"/>
          <w14:ligatures w14:val="none"/>
        </w:rPr>
      </w:pPr>
    </w:p>
    <w:p w:rsidR="00C610E4" w:rsidRPr="00C610E4" w:rsidRDefault="00C610E4" w:rsidP="00B76038">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8. Scalability and Generalization</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lastRenderedPageBreak/>
        <w:t>Although automotive diagnostics serve as the primary application domain, the ACPN framework is hardware-agnostic and extensible. The same principles apply to LiDAR systems, structured-light scanners, and stereoscopic camera arrays.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Potential applications include aerospace maintenance in large-scale hangars, autonomous mobile robotics in dynamic industrial settings, and construction metrology for real-time structural monitoring under variable environmental loads.</w:t>
      </w:r>
    </w:p>
    <w:p w:rsidR="00C610E4" w:rsidRPr="00C610E4" w:rsidRDefault="00C610E4" w:rsidP="00C610E4">
      <w:pPr>
        <w:spacing w:line="360" w:lineRule="auto"/>
        <w:ind w:firstLine="709"/>
        <w:contextualSpacing/>
        <w:jc w:val="both"/>
        <w:rPr>
          <w:rFonts w:ascii="Times New Roman" w:eastAsia="Times New Roman" w:hAnsi="Times New Roman" w:cs="Times New Roman"/>
          <w:kern w:val="0"/>
          <w:lang w:val="ru-RU" w:eastAsia="ru-RU"/>
          <w14:ligatures w14:val="none"/>
        </w:rPr>
      </w:pPr>
    </w:p>
    <w:p w:rsidR="00C610E4" w:rsidRDefault="00C610E4" w:rsidP="00B76038">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lang w:val="ru-RU" w:eastAsia="ru-RU"/>
          <w14:ligatures w14:val="none"/>
        </w:rPr>
      </w:pPr>
      <w:r w:rsidRPr="00C610E4">
        <w:rPr>
          <w:rFonts w:ascii="Times New Roman" w:eastAsia="Times New Roman" w:hAnsi="Times New Roman" w:cs="Times New Roman"/>
          <w:color w:val="000000"/>
          <w:kern w:val="0"/>
          <w:lang w:eastAsia="ru-RU"/>
          <w14:ligatures w14:val="none"/>
        </w:rPr>
        <w:t>9. Conclusion</w:t>
      </w:r>
    </w:p>
    <w:p w:rsidR="00B76038" w:rsidRPr="00C610E4" w:rsidRDefault="00B76038" w:rsidP="00C610E4">
      <w:pPr>
        <w:spacing w:before="100" w:beforeAutospacing="1" w:after="100" w:afterAutospacing="1" w:line="360" w:lineRule="auto"/>
        <w:ind w:firstLine="709"/>
        <w:contextualSpacing/>
        <w:jc w:val="both"/>
        <w:outlineLvl w:val="1"/>
        <w:rPr>
          <w:rFonts w:ascii="Times New Roman" w:eastAsia="Times New Roman" w:hAnsi="Times New Roman" w:cs="Times New Roman"/>
          <w:color w:val="000000"/>
          <w:kern w:val="0"/>
          <w:lang w:val="ru-RU" w:eastAsia="ru-RU"/>
          <w14:ligatures w14:val="none"/>
        </w:rPr>
      </w:pP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This work demonstrates that metrological sovereignty—the ability of a system to guarantee the integrity of its own measurements—is a prerequisite for next-generation automotive cyber-physical systems. By transitioning from static calibration to adaptive, uncertainty-aware metrology, the proposed framework provides a mathematically rigorous solution to measurement instability in non-structured environments.</w:t>
      </w:r>
    </w:p>
    <w:p w:rsidR="00C610E4" w:rsidRPr="00C610E4" w:rsidRDefault="00C610E4" w:rsidP="00C610E4">
      <w:pPr>
        <w:spacing w:before="100" w:beforeAutospacing="1" w:after="100" w:afterAutospacing="1" w:line="360" w:lineRule="auto"/>
        <w:ind w:firstLine="709"/>
        <w:contextualSpacing/>
        <w:jc w:val="both"/>
        <w:rPr>
          <w:rFonts w:ascii="Times New Roman" w:eastAsia="Times New Roman" w:hAnsi="Times New Roman" w:cs="Times New Roman"/>
          <w:color w:val="000000"/>
          <w:kern w:val="0"/>
          <w:lang w:eastAsia="ru-RU"/>
          <w14:ligatures w14:val="none"/>
        </w:rPr>
      </w:pPr>
      <w:r w:rsidRPr="00C610E4">
        <w:rPr>
          <w:rFonts w:ascii="Times New Roman" w:eastAsia="Times New Roman" w:hAnsi="Times New Roman" w:cs="Times New Roman"/>
          <w:color w:val="000000"/>
          <w:kern w:val="0"/>
          <w:lang w:eastAsia="ru-RU"/>
          <w14:ligatures w14:val="none"/>
        </w:rPr>
        <w:t>The ACPN framework establishes a practical foundation for reliable optical diagnostics and supports the broader transition toward data-driven, autonomous maintenance systems grounded in metrically trustworthy information.</w:t>
      </w:r>
    </w:p>
    <w:p w:rsidR="006A31DF" w:rsidRDefault="006A31DF" w:rsidP="00C610E4">
      <w:pPr>
        <w:spacing w:line="360" w:lineRule="auto"/>
        <w:ind w:firstLine="709"/>
        <w:contextualSpacing/>
        <w:jc w:val="both"/>
        <w:rPr>
          <w:rFonts w:ascii="Times New Roman" w:hAnsi="Times New Roman" w:cs="Times New Roman"/>
          <w:lang w:val="ru-RU"/>
        </w:rPr>
      </w:pPr>
    </w:p>
    <w:p w:rsidR="00B76038" w:rsidRPr="00B76038" w:rsidRDefault="00B76038" w:rsidP="00B76038">
      <w:pPr>
        <w:spacing w:before="100" w:beforeAutospacing="1" w:after="100" w:afterAutospacing="1"/>
        <w:outlineLvl w:val="1"/>
        <w:rPr>
          <w:rFonts w:ascii="Times New Roman" w:eastAsia="Times New Roman" w:hAnsi="Times New Roman" w:cs="Times New Roman"/>
          <w:b/>
          <w:bCs/>
          <w:i/>
          <w:iCs/>
          <w:color w:val="000000"/>
          <w:kern w:val="0"/>
          <w:lang w:eastAsia="ru-RU"/>
          <w14:ligatures w14:val="none"/>
        </w:rPr>
      </w:pPr>
      <w:r w:rsidRPr="00B76038">
        <w:rPr>
          <w:rFonts w:ascii="Times New Roman" w:eastAsia="Times New Roman" w:hAnsi="Times New Roman" w:cs="Times New Roman"/>
          <w:b/>
          <w:bCs/>
          <w:i/>
          <w:iCs/>
          <w:color w:val="000000"/>
          <w:kern w:val="0"/>
          <w:lang w:eastAsia="ru-RU"/>
          <w14:ligatures w14:val="none"/>
        </w:rPr>
        <w:t>References</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Zhang, Z. (2000).</w:t>
      </w:r>
      <w:r w:rsidRPr="00B76038">
        <w:rPr>
          <w:rFonts w:ascii="Times New Roman" w:eastAsia="Times New Roman" w:hAnsi="Times New Roman" w:cs="Times New Roman"/>
          <w:color w:val="000000"/>
          <w:kern w:val="0"/>
          <w:sz w:val="20"/>
          <w:szCs w:val="20"/>
          <w:lang w:eastAsia="ru-RU"/>
          <w14:ligatures w14:val="none"/>
        </w:rPr>
        <w:br/>
        <w:t>A flexible new technique for camera calibration.</w:t>
      </w:r>
      <w:r w:rsidRPr="00B76038">
        <w:rPr>
          <w:rFonts w:ascii="Times New Roman" w:eastAsia="Times New Roman" w:hAnsi="Times New Roman" w:cs="Times New Roman"/>
          <w:color w:val="000000"/>
          <w:kern w:val="0"/>
          <w:sz w:val="20"/>
          <w:szCs w:val="20"/>
          <w:lang w:eastAsia="ru-RU"/>
          <w14:ligatures w14:val="none"/>
        </w:rPr>
        <w:br/>
        <w:t>IEEE Transactions on Pattern Analysis and Machine Intelligence, 22(11), 1330–1334.</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Hartley, R., &amp; Zisserman, A. (2004).</w:t>
      </w:r>
      <w:r w:rsidRPr="00B76038">
        <w:rPr>
          <w:rFonts w:ascii="Times New Roman" w:eastAsia="Times New Roman" w:hAnsi="Times New Roman" w:cs="Times New Roman"/>
          <w:color w:val="000000"/>
          <w:kern w:val="0"/>
          <w:sz w:val="20"/>
          <w:szCs w:val="20"/>
          <w:lang w:eastAsia="ru-RU"/>
          <w14:ligatures w14:val="none"/>
        </w:rPr>
        <w:br/>
        <w:t>Multiple View Geometry in Computer Vision (2nd ed.).</w:t>
      </w:r>
      <w:r w:rsidRPr="00B76038">
        <w:rPr>
          <w:rFonts w:ascii="Times New Roman" w:eastAsia="Times New Roman" w:hAnsi="Times New Roman" w:cs="Times New Roman"/>
          <w:color w:val="000000"/>
          <w:kern w:val="0"/>
          <w:sz w:val="20"/>
          <w:szCs w:val="20"/>
          <w:lang w:eastAsia="ru-RU"/>
          <w14:ligatures w14:val="none"/>
        </w:rPr>
        <w:br/>
        <w:t>Cambridge University Press.</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Heikkilä, J., &amp; Silvén, O. (1997).</w:t>
      </w:r>
      <w:r w:rsidRPr="00B76038">
        <w:rPr>
          <w:rFonts w:ascii="Times New Roman" w:eastAsia="Times New Roman" w:hAnsi="Times New Roman" w:cs="Times New Roman"/>
          <w:color w:val="000000"/>
          <w:kern w:val="0"/>
          <w:sz w:val="20"/>
          <w:szCs w:val="20"/>
          <w:lang w:eastAsia="ru-RU"/>
          <w14:ligatures w14:val="none"/>
        </w:rPr>
        <w:br/>
        <w:t>A four-step camera calibration procedure with implicit image correction.</w:t>
      </w:r>
      <w:r w:rsidRPr="00B76038">
        <w:rPr>
          <w:rFonts w:ascii="Times New Roman" w:eastAsia="Times New Roman" w:hAnsi="Times New Roman" w:cs="Times New Roman"/>
          <w:color w:val="000000"/>
          <w:kern w:val="0"/>
          <w:sz w:val="20"/>
          <w:szCs w:val="20"/>
          <w:lang w:eastAsia="ru-RU"/>
          <w14:ligatures w14:val="none"/>
        </w:rPr>
        <w:br/>
        <w:t>Proceedings of IEEE Computer Society Conference on Computer Vision and Pattern Recognition, 1106–1112.</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Bishop, C. M. (2006).</w:t>
      </w:r>
      <w:r w:rsidRPr="00B76038">
        <w:rPr>
          <w:rFonts w:ascii="Times New Roman" w:eastAsia="Times New Roman" w:hAnsi="Times New Roman" w:cs="Times New Roman"/>
          <w:color w:val="000000"/>
          <w:kern w:val="0"/>
          <w:sz w:val="20"/>
          <w:szCs w:val="20"/>
          <w:lang w:eastAsia="ru-RU"/>
          <w14:ligatures w14:val="none"/>
        </w:rPr>
        <w:br/>
        <w:t>Pattern Recognition and Machine Learning.</w:t>
      </w:r>
      <w:r w:rsidRPr="00B76038">
        <w:rPr>
          <w:rFonts w:ascii="Times New Roman" w:eastAsia="Times New Roman" w:hAnsi="Times New Roman" w:cs="Times New Roman"/>
          <w:color w:val="000000"/>
          <w:kern w:val="0"/>
          <w:sz w:val="20"/>
          <w:szCs w:val="20"/>
          <w:lang w:eastAsia="ru-RU"/>
          <w14:ligatures w14:val="none"/>
        </w:rPr>
        <w:br/>
        <w:t>Springer.</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Thrun, S., Burgard, W., &amp; Fox, D. (2005).</w:t>
      </w:r>
      <w:r w:rsidRPr="00B76038">
        <w:rPr>
          <w:rFonts w:ascii="Times New Roman" w:eastAsia="Times New Roman" w:hAnsi="Times New Roman" w:cs="Times New Roman"/>
          <w:color w:val="000000"/>
          <w:kern w:val="0"/>
          <w:sz w:val="20"/>
          <w:szCs w:val="20"/>
          <w:lang w:eastAsia="ru-RU"/>
          <w14:ligatures w14:val="none"/>
        </w:rPr>
        <w:br/>
        <w:t>Probabilistic Robotics.</w:t>
      </w:r>
      <w:r w:rsidRPr="00B76038">
        <w:rPr>
          <w:rFonts w:ascii="Times New Roman" w:eastAsia="Times New Roman" w:hAnsi="Times New Roman" w:cs="Times New Roman"/>
          <w:color w:val="000000"/>
          <w:kern w:val="0"/>
          <w:sz w:val="20"/>
          <w:szCs w:val="20"/>
          <w:lang w:eastAsia="ru-RU"/>
          <w14:ligatures w14:val="none"/>
        </w:rPr>
        <w:br/>
        <w:t>MIT Press.</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Welch, G., &amp; Bishop, G. (2006).</w:t>
      </w:r>
      <w:r w:rsidRPr="00B76038">
        <w:rPr>
          <w:rFonts w:ascii="Times New Roman" w:eastAsia="Times New Roman" w:hAnsi="Times New Roman" w:cs="Times New Roman"/>
          <w:color w:val="000000"/>
          <w:kern w:val="0"/>
          <w:sz w:val="20"/>
          <w:szCs w:val="20"/>
          <w:lang w:eastAsia="ru-RU"/>
          <w14:ligatures w14:val="none"/>
        </w:rPr>
        <w:br/>
        <w:t>An introduction to the Kalman filter.</w:t>
      </w:r>
      <w:r w:rsidRPr="00B76038">
        <w:rPr>
          <w:rFonts w:ascii="Times New Roman" w:eastAsia="Times New Roman" w:hAnsi="Times New Roman" w:cs="Times New Roman"/>
          <w:color w:val="000000"/>
          <w:kern w:val="0"/>
          <w:sz w:val="20"/>
          <w:szCs w:val="20"/>
          <w:lang w:eastAsia="ru-RU"/>
          <w14:ligatures w14:val="none"/>
        </w:rPr>
        <w:br/>
        <w:t>University of North Carolina at Chapel Hill, Technical Report.</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Debevec, P. E., &amp; Malik, J. (1997).</w:t>
      </w:r>
      <w:r w:rsidRPr="00B76038">
        <w:rPr>
          <w:rFonts w:ascii="Times New Roman" w:eastAsia="Times New Roman" w:hAnsi="Times New Roman" w:cs="Times New Roman"/>
          <w:color w:val="000000"/>
          <w:kern w:val="0"/>
          <w:sz w:val="20"/>
          <w:szCs w:val="20"/>
          <w:lang w:eastAsia="ru-RU"/>
          <w14:ligatures w14:val="none"/>
        </w:rPr>
        <w:br/>
        <w:t>Recovering high dynamic range radiance maps from photographs.</w:t>
      </w:r>
      <w:r w:rsidRPr="00B76038">
        <w:rPr>
          <w:rFonts w:ascii="Times New Roman" w:eastAsia="Times New Roman" w:hAnsi="Times New Roman" w:cs="Times New Roman"/>
          <w:color w:val="000000"/>
          <w:kern w:val="0"/>
          <w:sz w:val="20"/>
          <w:szCs w:val="20"/>
          <w:lang w:eastAsia="ru-RU"/>
          <w14:ligatures w14:val="none"/>
        </w:rPr>
        <w:br/>
        <w:t>Proceedings of SIGGRAPH, 369–378.</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lastRenderedPageBreak/>
        <w:t>Nicodemus, F. E., Richmond, J. C., Hsia, J. J., Ginsberg, I. W., &amp; Limperis, T. (1977).</w:t>
      </w:r>
      <w:r w:rsidRPr="00B76038">
        <w:rPr>
          <w:rFonts w:ascii="Times New Roman" w:eastAsia="Times New Roman" w:hAnsi="Times New Roman" w:cs="Times New Roman"/>
          <w:color w:val="000000"/>
          <w:kern w:val="0"/>
          <w:sz w:val="20"/>
          <w:szCs w:val="20"/>
          <w:lang w:eastAsia="ru-RU"/>
          <w14:ligatures w14:val="none"/>
        </w:rPr>
        <w:br/>
        <w:t>Geometrical considerations and nomenclature for reflectance.</w:t>
      </w:r>
      <w:r w:rsidRPr="00B76038">
        <w:rPr>
          <w:rFonts w:ascii="Times New Roman" w:eastAsia="Times New Roman" w:hAnsi="Times New Roman" w:cs="Times New Roman"/>
          <w:color w:val="000000"/>
          <w:kern w:val="0"/>
          <w:sz w:val="20"/>
          <w:szCs w:val="20"/>
          <w:lang w:eastAsia="ru-RU"/>
          <w14:ligatures w14:val="none"/>
        </w:rPr>
        <w:br/>
        <w:t>NBS Monograph 160, U.S. National Bureau of Standards.</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Torrance, K. E., &amp; Sparrow, E. M. (1967).</w:t>
      </w:r>
      <w:r w:rsidRPr="00B76038">
        <w:rPr>
          <w:rFonts w:ascii="Times New Roman" w:eastAsia="Times New Roman" w:hAnsi="Times New Roman" w:cs="Times New Roman"/>
          <w:color w:val="000000"/>
          <w:kern w:val="0"/>
          <w:sz w:val="20"/>
          <w:szCs w:val="20"/>
          <w:lang w:eastAsia="ru-RU"/>
          <w14:ligatures w14:val="none"/>
        </w:rPr>
        <w:br/>
        <w:t>Theory for off-specular reflection from roughened surfaces.</w:t>
      </w:r>
      <w:r w:rsidRPr="00B76038">
        <w:rPr>
          <w:rFonts w:ascii="Times New Roman" w:eastAsia="Times New Roman" w:hAnsi="Times New Roman" w:cs="Times New Roman"/>
          <w:color w:val="000000"/>
          <w:kern w:val="0"/>
          <w:sz w:val="20"/>
          <w:szCs w:val="20"/>
          <w:lang w:eastAsia="ru-RU"/>
          <w14:ligatures w14:val="none"/>
        </w:rPr>
        <w:br/>
        <w:t>Journal of the Optical Society of America, 57(9), 1105–1114.</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Besl, P. J., &amp; McKay, N. D. (1992).</w:t>
      </w:r>
      <w:r w:rsidRPr="00B76038">
        <w:rPr>
          <w:rFonts w:ascii="Times New Roman" w:eastAsia="Times New Roman" w:hAnsi="Times New Roman" w:cs="Times New Roman"/>
          <w:color w:val="000000"/>
          <w:kern w:val="0"/>
          <w:sz w:val="20"/>
          <w:szCs w:val="20"/>
          <w:lang w:eastAsia="ru-RU"/>
          <w14:ligatures w14:val="none"/>
        </w:rPr>
        <w:br/>
        <w:t>A method for registration of 3-D shapes.</w:t>
      </w:r>
      <w:r w:rsidRPr="00B76038">
        <w:rPr>
          <w:rFonts w:ascii="Times New Roman" w:eastAsia="Times New Roman" w:hAnsi="Times New Roman" w:cs="Times New Roman"/>
          <w:color w:val="000000"/>
          <w:kern w:val="0"/>
          <w:sz w:val="20"/>
          <w:szCs w:val="20"/>
          <w:lang w:eastAsia="ru-RU"/>
          <w14:ligatures w14:val="none"/>
        </w:rPr>
        <w:br/>
        <w:t>IEEE Transactions on Pattern Analysis and Machine Intelligence, 14(2), 239–256.</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Bookstein, F. L. (1989).</w:t>
      </w:r>
      <w:r w:rsidRPr="00B76038">
        <w:rPr>
          <w:rFonts w:ascii="Times New Roman" w:eastAsia="Times New Roman" w:hAnsi="Times New Roman" w:cs="Times New Roman"/>
          <w:color w:val="000000"/>
          <w:kern w:val="0"/>
          <w:sz w:val="20"/>
          <w:szCs w:val="20"/>
          <w:lang w:eastAsia="ru-RU"/>
          <w14:ligatures w14:val="none"/>
        </w:rPr>
        <w:br/>
        <w:t>Principal warps: Thin-plate splines and the decomposition of deformations.</w:t>
      </w:r>
      <w:r w:rsidRPr="00B76038">
        <w:rPr>
          <w:rFonts w:ascii="Times New Roman" w:eastAsia="Times New Roman" w:hAnsi="Times New Roman" w:cs="Times New Roman"/>
          <w:color w:val="000000"/>
          <w:kern w:val="0"/>
          <w:sz w:val="20"/>
          <w:szCs w:val="20"/>
          <w:lang w:eastAsia="ru-RU"/>
          <w14:ligatures w14:val="none"/>
        </w:rPr>
        <w:br/>
        <w:t>IEEE Transactions on Pattern Analysis and Machine Intelligence, 11(6), 567–585.</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Szeliski, R. (2010).</w:t>
      </w:r>
      <w:r w:rsidRPr="00B76038">
        <w:rPr>
          <w:rFonts w:ascii="Times New Roman" w:eastAsia="Times New Roman" w:hAnsi="Times New Roman" w:cs="Times New Roman"/>
          <w:color w:val="000000"/>
          <w:kern w:val="0"/>
          <w:sz w:val="20"/>
          <w:szCs w:val="20"/>
          <w:lang w:eastAsia="ru-RU"/>
          <w14:ligatures w14:val="none"/>
        </w:rPr>
        <w:br/>
        <w:t>Computer Vision: Algorithms and Applications.</w:t>
      </w:r>
      <w:r w:rsidRPr="00B76038">
        <w:rPr>
          <w:rFonts w:ascii="Times New Roman" w:eastAsia="Times New Roman" w:hAnsi="Times New Roman" w:cs="Times New Roman"/>
          <w:color w:val="000000"/>
          <w:kern w:val="0"/>
          <w:sz w:val="20"/>
          <w:szCs w:val="20"/>
          <w:lang w:eastAsia="ru-RU"/>
          <w14:ligatures w14:val="none"/>
        </w:rPr>
        <w:br/>
        <w:t>Springer.</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ISO/IEC Guide 98-3:2008.</w:t>
      </w:r>
      <w:r w:rsidRPr="00B76038">
        <w:rPr>
          <w:rFonts w:ascii="Times New Roman" w:eastAsia="Times New Roman" w:hAnsi="Times New Roman" w:cs="Times New Roman"/>
          <w:color w:val="000000"/>
          <w:kern w:val="0"/>
          <w:sz w:val="20"/>
          <w:szCs w:val="20"/>
          <w:lang w:eastAsia="ru-RU"/>
          <w14:ligatures w14:val="none"/>
        </w:rPr>
        <w:br/>
        <w:t>Uncertainty of measurement — Part 3: Guide to the expression of uncertainty in measurement (GUM).</w:t>
      </w:r>
      <w:r w:rsidRPr="00B76038">
        <w:rPr>
          <w:rFonts w:ascii="Times New Roman" w:eastAsia="Times New Roman" w:hAnsi="Times New Roman" w:cs="Times New Roman"/>
          <w:color w:val="000000"/>
          <w:kern w:val="0"/>
          <w:sz w:val="20"/>
          <w:szCs w:val="20"/>
          <w:lang w:eastAsia="ru-RU"/>
          <w14:ligatures w14:val="none"/>
        </w:rPr>
        <w:br/>
        <w:t>International Organization for Standardization.</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Lee, E. A. (2008).</w:t>
      </w:r>
      <w:r w:rsidRPr="00B76038">
        <w:rPr>
          <w:rFonts w:ascii="Times New Roman" w:eastAsia="Times New Roman" w:hAnsi="Times New Roman" w:cs="Times New Roman"/>
          <w:color w:val="000000"/>
          <w:kern w:val="0"/>
          <w:sz w:val="20"/>
          <w:szCs w:val="20"/>
          <w:lang w:eastAsia="ru-RU"/>
          <w14:ligatures w14:val="none"/>
        </w:rPr>
        <w:br/>
        <w:t>Cyber physical systems: Design challenges.</w:t>
      </w:r>
      <w:r w:rsidRPr="00B76038">
        <w:rPr>
          <w:rFonts w:ascii="Times New Roman" w:eastAsia="Times New Roman" w:hAnsi="Times New Roman" w:cs="Times New Roman"/>
          <w:color w:val="000000"/>
          <w:kern w:val="0"/>
          <w:sz w:val="20"/>
          <w:szCs w:val="20"/>
          <w:lang w:eastAsia="ru-RU"/>
          <w14:ligatures w14:val="none"/>
        </w:rPr>
        <w:br/>
        <w:t>Proceedings of the 11th IEEE International Symposium on Object Oriented Real-Time Distributed Computing, 363–369.</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Monostori, L., Kádár, B., Bauernhansl, T., et al. (2016).</w:t>
      </w:r>
      <w:r w:rsidRPr="00B76038">
        <w:rPr>
          <w:rFonts w:ascii="Times New Roman" w:eastAsia="Times New Roman" w:hAnsi="Times New Roman" w:cs="Times New Roman"/>
          <w:color w:val="000000"/>
          <w:kern w:val="0"/>
          <w:sz w:val="20"/>
          <w:szCs w:val="20"/>
          <w:lang w:eastAsia="ru-RU"/>
          <w14:ligatures w14:val="none"/>
        </w:rPr>
        <w:br/>
        <w:t>Cyber-physical systems in manufacturing.</w:t>
      </w:r>
      <w:r w:rsidRPr="00B76038">
        <w:rPr>
          <w:rFonts w:ascii="Times New Roman" w:eastAsia="Times New Roman" w:hAnsi="Times New Roman" w:cs="Times New Roman"/>
          <w:color w:val="000000"/>
          <w:kern w:val="0"/>
          <w:sz w:val="20"/>
          <w:szCs w:val="20"/>
          <w:lang w:eastAsia="ru-RU"/>
          <w14:ligatures w14:val="none"/>
        </w:rPr>
        <w:br/>
        <w:t>CIRP Annals, 65(2), 621–641.</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Tao, F., Qi, Q., Wang, L., &amp; Nee, A. Y. C. (2019).</w:t>
      </w:r>
      <w:r w:rsidRPr="00B76038">
        <w:rPr>
          <w:rFonts w:ascii="Times New Roman" w:eastAsia="Times New Roman" w:hAnsi="Times New Roman" w:cs="Times New Roman"/>
          <w:color w:val="000000"/>
          <w:kern w:val="0"/>
          <w:sz w:val="20"/>
          <w:szCs w:val="20"/>
          <w:lang w:eastAsia="ru-RU"/>
          <w14:ligatures w14:val="none"/>
        </w:rPr>
        <w:br/>
        <w:t>Digital twins and cyber–physical systems toward smart manufacturing and Industry 4.0.</w:t>
      </w:r>
      <w:r w:rsidRPr="00B76038">
        <w:rPr>
          <w:rFonts w:ascii="Times New Roman" w:eastAsia="Times New Roman" w:hAnsi="Times New Roman" w:cs="Times New Roman"/>
          <w:color w:val="000000"/>
          <w:kern w:val="0"/>
          <w:sz w:val="20"/>
          <w:szCs w:val="20"/>
          <w:lang w:eastAsia="ru-RU"/>
          <w14:ligatures w14:val="none"/>
        </w:rPr>
        <w:br/>
        <w:t>Engineering, 5(4), 653–661.</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Glaessgen, E., &amp; Stargel, D. (2012).</w:t>
      </w:r>
      <w:r w:rsidRPr="00B76038">
        <w:rPr>
          <w:rFonts w:ascii="Times New Roman" w:eastAsia="Times New Roman" w:hAnsi="Times New Roman" w:cs="Times New Roman"/>
          <w:color w:val="000000"/>
          <w:kern w:val="0"/>
          <w:sz w:val="20"/>
          <w:szCs w:val="20"/>
          <w:lang w:eastAsia="ru-RU"/>
          <w14:ligatures w14:val="none"/>
        </w:rPr>
        <w:br/>
        <w:t>The digital twin paradigm for future NASA and U.S. Air Force vehicles.</w:t>
      </w:r>
      <w:r w:rsidRPr="00B76038">
        <w:rPr>
          <w:rFonts w:ascii="Times New Roman" w:eastAsia="Times New Roman" w:hAnsi="Times New Roman" w:cs="Times New Roman"/>
          <w:color w:val="000000"/>
          <w:kern w:val="0"/>
          <w:sz w:val="20"/>
          <w:szCs w:val="20"/>
          <w:lang w:eastAsia="ru-RU"/>
          <w14:ligatures w14:val="none"/>
        </w:rPr>
        <w:br/>
        <w:t>Proceedings of the AIAA Conference.</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Meyer, G. W., Rushmeier, H. E., &amp; Cohen, M. F. (1996).</w:t>
      </w:r>
      <w:r w:rsidRPr="00B76038">
        <w:rPr>
          <w:rFonts w:ascii="Times New Roman" w:eastAsia="Times New Roman" w:hAnsi="Times New Roman" w:cs="Times New Roman"/>
          <w:color w:val="000000"/>
          <w:kern w:val="0"/>
          <w:sz w:val="20"/>
          <w:szCs w:val="20"/>
          <w:lang w:eastAsia="ru-RU"/>
          <w14:ligatures w14:val="none"/>
        </w:rPr>
        <w:br/>
        <w:t>A radiometric framework for image-based rendering.</w:t>
      </w:r>
      <w:r w:rsidRPr="00B76038">
        <w:rPr>
          <w:rFonts w:ascii="Times New Roman" w:eastAsia="Times New Roman" w:hAnsi="Times New Roman" w:cs="Times New Roman"/>
          <w:color w:val="000000"/>
          <w:kern w:val="0"/>
          <w:sz w:val="20"/>
          <w:szCs w:val="20"/>
          <w:lang w:eastAsia="ru-RU"/>
          <w14:ligatures w14:val="none"/>
        </w:rPr>
        <w:br/>
        <w:t>Proceedings of SIGGRAPH, 283–292.</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Jazayeri, A., Cai, H., Zheng, J. Y., &amp; Tuceryan, M. (2011).</w:t>
      </w:r>
      <w:r w:rsidRPr="00B76038">
        <w:rPr>
          <w:rFonts w:ascii="Times New Roman" w:eastAsia="Times New Roman" w:hAnsi="Times New Roman" w:cs="Times New Roman"/>
          <w:color w:val="000000"/>
          <w:kern w:val="0"/>
          <w:sz w:val="20"/>
          <w:szCs w:val="20"/>
          <w:lang w:eastAsia="ru-RU"/>
          <w14:ligatures w14:val="none"/>
        </w:rPr>
        <w:br/>
        <w:t>Vehicle detection and tracking in car video based on motion model.</w:t>
      </w:r>
      <w:r w:rsidRPr="00B76038">
        <w:rPr>
          <w:rFonts w:ascii="Times New Roman" w:eastAsia="Times New Roman" w:hAnsi="Times New Roman" w:cs="Times New Roman"/>
          <w:color w:val="000000"/>
          <w:kern w:val="0"/>
          <w:sz w:val="20"/>
          <w:szCs w:val="20"/>
          <w:lang w:eastAsia="ru-RU"/>
          <w14:ligatures w14:val="none"/>
        </w:rPr>
        <w:br/>
        <w:t>IEEE Transactions on Intelligent Transportation Systems, 12(2), 583–595.</w:t>
      </w:r>
    </w:p>
    <w:p w:rsidR="00B76038" w:rsidRPr="00B76038" w:rsidRDefault="00B76038" w:rsidP="00B76038">
      <w:pPr>
        <w:numPr>
          <w:ilvl w:val="0"/>
          <w:numId w:val="1"/>
        </w:numPr>
        <w:spacing w:before="100" w:beforeAutospacing="1" w:after="100" w:afterAutospacing="1" w:line="360" w:lineRule="auto"/>
        <w:rPr>
          <w:rFonts w:ascii="Times New Roman" w:eastAsia="Times New Roman" w:hAnsi="Times New Roman" w:cs="Times New Roman"/>
          <w:color w:val="000000"/>
          <w:kern w:val="0"/>
          <w:sz w:val="20"/>
          <w:szCs w:val="20"/>
          <w:lang w:eastAsia="ru-RU"/>
          <w14:ligatures w14:val="none"/>
        </w:rPr>
      </w:pPr>
      <w:r w:rsidRPr="00B76038">
        <w:rPr>
          <w:rFonts w:ascii="Times New Roman" w:eastAsia="Times New Roman" w:hAnsi="Times New Roman" w:cs="Times New Roman"/>
          <w:color w:val="000000"/>
          <w:kern w:val="0"/>
          <w:sz w:val="20"/>
          <w:szCs w:val="20"/>
          <w:lang w:eastAsia="ru-RU"/>
          <w14:ligatures w14:val="none"/>
        </w:rPr>
        <w:t>Popov, E. A. (2026).</w:t>
      </w:r>
      <w:r w:rsidRPr="00B76038">
        <w:rPr>
          <w:rFonts w:ascii="Times New Roman" w:eastAsia="Times New Roman" w:hAnsi="Times New Roman" w:cs="Times New Roman"/>
          <w:color w:val="000000"/>
          <w:kern w:val="0"/>
          <w:sz w:val="20"/>
          <w:szCs w:val="20"/>
          <w:lang w:eastAsia="ru-RU"/>
          <w14:ligatures w14:val="none"/>
        </w:rPr>
        <w:br/>
        <w:t>Adaptive calibration and uncertainty-aware optical metrology in non-structured automotive environments.</w:t>
      </w:r>
      <w:r w:rsidRPr="00B76038">
        <w:rPr>
          <w:rFonts w:ascii="Times New Roman" w:eastAsia="Times New Roman" w:hAnsi="Times New Roman" w:cs="Times New Roman"/>
          <w:color w:val="000000"/>
          <w:kern w:val="0"/>
          <w:sz w:val="20"/>
          <w:szCs w:val="20"/>
          <w:lang w:eastAsia="ru-RU"/>
          <w14:ligatures w14:val="none"/>
        </w:rPr>
        <w:br/>
        <w:t>Preprint.</w:t>
      </w:r>
    </w:p>
    <w:p w:rsidR="00B76038" w:rsidRPr="00B76038" w:rsidRDefault="00B76038" w:rsidP="00B76038">
      <w:pPr>
        <w:spacing w:line="360" w:lineRule="auto"/>
        <w:ind w:firstLine="709"/>
        <w:contextualSpacing/>
        <w:jc w:val="both"/>
        <w:rPr>
          <w:rFonts w:ascii="Times New Roman" w:hAnsi="Times New Roman" w:cs="Times New Roman"/>
          <w:sz w:val="20"/>
          <w:szCs w:val="20"/>
          <w:lang w:val="ru-RU"/>
        </w:rPr>
      </w:pPr>
    </w:p>
    <w:sectPr w:rsidR="00B76038" w:rsidRPr="00B76038" w:rsidSect="00C610E4">
      <w:pgSz w:w="11906" w:h="16838"/>
      <w:pgMar w:top="567" w:right="567" w:bottom="816"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A731B"/>
    <w:multiLevelType w:val="multilevel"/>
    <w:tmpl w:val="4D32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332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E4"/>
    <w:rsid w:val="0032160F"/>
    <w:rsid w:val="006A31DF"/>
    <w:rsid w:val="006D51B4"/>
    <w:rsid w:val="00766F15"/>
    <w:rsid w:val="007B4624"/>
    <w:rsid w:val="007E76E2"/>
    <w:rsid w:val="00847914"/>
    <w:rsid w:val="00AC7FF4"/>
    <w:rsid w:val="00B40572"/>
    <w:rsid w:val="00B76038"/>
    <w:rsid w:val="00B86C56"/>
    <w:rsid w:val="00C610E4"/>
    <w:rsid w:val="00D02C2D"/>
    <w:rsid w:val="00D90407"/>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BEA4"/>
  <w15:chartTrackingRefBased/>
  <w15:docId w15:val="{5EF2536B-B283-B945-B198-9D63704D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1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61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610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10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10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10E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10E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10E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10E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0E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610E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610E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10E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10E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10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10E4"/>
    <w:rPr>
      <w:rFonts w:eastAsiaTheme="majorEastAsia" w:cstheme="majorBidi"/>
      <w:color w:val="595959" w:themeColor="text1" w:themeTint="A6"/>
    </w:rPr>
  </w:style>
  <w:style w:type="character" w:customStyle="1" w:styleId="80">
    <w:name w:val="Заголовок 8 Знак"/>
    <w:basedOn w:val="a0"/>
    <w:link w:val="8"/>
    <w:uiPriority w:val="9"/>
    <w:semiHidden/>
    <w:rsid w:val="00C610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10E4"/>
    <w:rPr>
      <w:rFonts w:eastAsiaTheme="majorEastAsia" w:cstheme="majorBidi"/>
      <w:color w:val="272727" w:themeColor="text1" w:themeTint="D8"/>
    </w:rPr>
  </w:style>
  <w:style w:type="paragraph" w:styleId="a3">
    <w:name w:val="Title"/>
    <w:basedOn w:val="a"/>
    <w:next w:val="a"/>
    <w:link w:val="a4"/>
    <w:uiPriority w:val="10"/>
    <w:qFormat/>
    <w:rsid w:val="00C610E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1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0E4"/>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10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10E4"/>
    <w:pPr>
      <w:spacing w:before="160" w:after="160"/>
      <w:jc w:val="center"/>
    </w:pPr>
    <w:rPr>
      <w:i/>
      <w:iCs/>
      <w:color w:val="404040" w:themeColor="text1" w:themeTint="BF"/>
    </w:rPr>
  </w:style>
  <w:style w:type="character" w:customStyle="1" w:styleId="22">
    <w:name w:val="Цитата 2 Знак"/>
    <w:basedOn w:val="a0"/>
    <w:link w:val="21"/>
    <w:uiPriority w:val="29"/>
    <w:rsid w:val="00C610E4"/>
    <w:rPr>
      <w:i/>
      <w:iCs/>
      <w:color w:val="404040" w:themeColor="text1" w:themeTint="BF"/>
    </w:rPr>
  </w:style>
  <w:style w:type="paragraph" w:styleId="a7">
    <w:name w:val="List Paragraph"/>
    <w:basedOn w:val="a"/>
    <w:uiPriority w:val="34"/>
    <w:qFormat/>
    <w:rsid w:val="00C610E4"/>
    <w:pPr>
      <w:ind w:left="720"/>
      <w:contextualSpacing/>
    </w:pPr>
  </w:style>
  <w:style w:type="character" w:styleId="a8">
    <w:name w:val="Intense Emphasis"/>
    <w:basedOn w:val="a0"/>
    <w:uiPriority w:val="21"/>
    <w:qFormat/>
    <w:rsid w:val="00C610E4"/>
    <w:rPr>
      <w:i/>
      <w:iCs/>
      <w:color w:val="2F5496" w:themeColor="accent1" w:themeShade="BF"/>
    </w:rPr>
  </w:style>
  <w:style w:type="paragraph" w:styleId="a9">
    <w:name w:val="Intense Quote"/>
    <w:basedOn w:val="a"/>
    <w:next w:val="a"/>
    <w:link w:val="aa"/>
    <w:uiPriority w:val="30"/>
    <w:qFormat/>
    <w:rsid w:val="00C61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610E4"/>
    <w:rPr>
      <w:i/>
      <w:iCs/>
      <w:color w:val="2F5496" w:themeColor="accent1" w:themeShade="BF"/>
    </w:rPr>
  </w:style>
  <w:style w:type="character" w:styleId="ab">
    <w:name w:val="Intense Reference"/>
    <w:basedOn w:val="a0"/>
    <w:uiPriority w:val="32"/>
    <w:qFormat/>
    <w:rsid w:val="00C610E4"/>
    <w:rPr>
      <w:b/>
      <w:bCs/>
      <w:smallCaps/>
      <w:color w:val="2F5496" w:themeColor="accent1" w:themeShade="BF"/>
      <w:spacing w:val="5"/>
    </w:rPr>
  </w:style>
  <w:style w:type="paragraph" w:styleId="ac">
    <w:name w:val="Normal (Web)"/>
    <w:basedOn w:val="a"/>
    <w:uiPriority w:val="99"/>
    <w:semiHidden/>
    <w:unhideWhenUsed/>
    <w:rsid w:val="00C610E4"/>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C610E4"/>
    <w:rPr>
      <w:b/>
      <w:bCs/>
    </w:rPr>
  </w:style>
  <w:style w:type="character" w:customStyle="1" w:styleId="apple-converted-space">
    <w:name w:val="apple-converted-space"/>
    <w:basedOn w:val="a0"/>
    <w:rsid w:val="00C610E4"/>
  </w:style>
  <w:style w:type="character" w:customStyle="1" w:styleId="katex-mathml">
    <w:name w:val="katex-mathml"/>
    <w:basedOn w:val="a0"/>
    <w:rsid w:val="00C610E4"/>
  </w:style>
  <w:style w:type="character" w:customStyle="1" w:styleId="mord">
    <w:name w:val="mord"/>
    <w:basedOn w:val="a0"/>
    <w:rsid w:val="00C610E4"/>
  </w:style>
  <w:style w:type="character" w:customStyle="1" w:styleId="vlist-s">
    <w:name w:val="vlist-s"/>
    <w:basedOn w:val="a0"/>
    <w:rsid w:val="00C610E4"/>
  </w:style>
  <w:style w:type="character" w:customStyle="1" w:styleId="mopen">
    <w:name w:val="mopen"/>
    <w:basedOn w:val="a0"/>
    <w:rsid w:val="00C610E4"/>
  </w:style>
  <w:style w:type="character" w:customStyle="1" w:styleId="mrel">
    <w:name w:val="mrel"/>
    <w:basedOn w:val="a0"/>
    <w:rsid w:val="00C610E4"/>
  </w:style>
  <w:style w:type="character" w:customStyle="1" w:styleId="mclose">
    <w:name w:val="mclose"/>
    <w:basedOn w:val="a0"/>
    <w:rsid w:val="00C610E4"/>
  </w:style>
  <w:style w:type="character" w:customStyle="1" w:styleId="mbin">
    <w:name w:val="mbin"/>
    <w:basedOn w:val="a0"/>
    <w:rsid w:val="00C610E4"/>
  </w:style>
  <w:style w:type="character" w:customStyle="1" w:styleId="mpunct">
    <w:name w:val="mpunct"/>
    <w:basedOn w:val="a0"/>
    <w:rsid w:val="00C610E4"/>
  </w:style>
  <w:style w:type="character" w:styleId="ae">
    <w:name w:val="Emphasis"/>
    <w:basedOn w:val="a0"/>
    <w:uiPriority w:val="20"/>
    <w:qFormat/>
    <w:rsid w:val="00B760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76153">
      <w:bodyDiv w:val="1"/>
      <w:marLeft w:val="0"/>
      <w:marRight w:val="0"/>
      <w:marTop w:val="0"/>
      <w:marBottom w:val="0"/>
      <w:divBdr>
        <w:top w:val="none" w:sz="0" w:space="0" w:color="auto"/>
        <w:left w:val="none" w:sz="0" w:space="0" w:color="auto"/>
        <w:bottom w:val="none" w:sz="0" w:space="0" w:color="auto"/>
        <w:right w:val="none" w:sz="0" w:space="0" w:color="auto"/>
      </w:divBdr>
    </w:div>
    <w:div w:id="428742575">
      <w:bodyDiv w:val="1"/>
      <w:marLeft w:val="0"/>
      <w:marRight w:val="0"/>
      <w:marTop w:val="0"/>
      <w:marBottom w:val="0"/>
      <w:divBdr>
        <w:top w:val="none" w:sz="0" w:space="0" w:color="auto"/>
        <w:left w:val="none" w:sz="0" w:space="0" w:color="auto"/>
        <w:bottom w:val="none" w:sz="0" w:space="0" w:color="auto"/>
        <w:right w:val="none" w:sz="0" w:space="0" w:color="auto"/>
      </w:divBdr>
    </w:div>
    <w:div w:id="1271620279">
      <w:bodyDiv w:val="1"/>
      <w:marLeft w:val="0"/>
      <w:marRight w:val="0"/>
      <w:marTop w:val="0"/>
      <w:marBottom w:val="0"/>
      <w:divBdr>
        <w:top w:val="none" w:sz="0" w:space="0" w:color="auto"/>
        <w:left w:val="none" w:sz="0" w:space="0" w:color="auto"/>
        <w:bottom w:val="none" w:sz="0" w:space="0" w:color="auto"/>
        <w:right w:val="none" w:sz="0" w:space="0" w:color="auto"/>
      </w:divBdr>
    </w:div>
    <w:div w:id="16936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2354</Words>
  <Characters>13418</Characters>
  <Application>Microsoft Office Word</Application>
  <DocSecurity>2</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amand.nataliia@outlook.com</dc:creator>
  <cp:keywords/>
  <dc:description/>
  <cp:lastModifiedBy>amand.nataliia@outlook.com</cp:lastModifiedBy>
  <cp:revision>3</cp:revision>
  <dcterms:created xsi:type="dcterms:W3CDTF">2026-01-16T19:57:00Z</dcterms:created>
  <dcterms:modified xsi:type="dcterms:W3CDTF">2026-01-16T20:42:00Z</dcterms:modified>
</cp:coreProperties>
</file>