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1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  <w:lang w:val="en-US"/>
        </w:rPr>
      </w:pPr>
      <w:r w:rsidRPr="005B5C4A">
        <w:rPr>
          <w:rFonts w:ascii="Times New Roman CYR" w:hAnsi="Times New Roman CYR" w:cs="Times New Roman CYR"/>
          <w:b/>
          <w:bCs/>
          <w:i/>
          <w:iCs/>
          <w:sz w:val="18"/>
          <w:szCs w:val="18"/>
          <w:lang w:val="en-US"/>
        </w:rPr>
        <w:t xml:space="preserve">Нapax </w:t>
      </w:r>
      <w:r w:rsidRPr="005B5C4A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legomena, dishapax legomena</w:t>
      </w:r>
      <w:r w:rsidRPr="005B5C4A">
        <w:rPr>
          <w:rFonts w:ascii="Times New Roman CYR" w:hAnsi="Times New Roman CYR" w:cs="Times New Roman CYR"/>
          <w:b/>
          <w:b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b/>
          <w:bCs/>
          <w:sz w:val="18"/>
          <w:szCs w:val="18"/>
          <w:lang w:val="en-US"/>
        </w:rPr>
        <w:t>both</w:t>
      </w:r>
      <w:r w:rsidRPr="005B5C4A">
        <w:rPr>
          <w:rFonts w:ascii="Times New Roman CYR" w:hAnsi="Times New Roman CYR" w:cs="Times New Roman CYR"/>
          <w:b/>
          <w:bCs/>
          <w:i/>
          <w:i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  <w:t>a h-point</w:t>
      </w:r>
      <w:r w:rsidRPr="005B5C4A">
        <w:rPr>
          <w:rFonts w:ascii="Times New Roman CYR" w:hAnsi="Times New Roman CYR" w:cs="Times New Roman CYR"/>
          <w:b/>
          <w:b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b/>
          <w:bCs/>
          <w:sz w:val="18"/>
          <w:szCs w:val="18"/>
          <w:lang w:val="en-US"/>
        </w:rPr>
        <w:t xml:space="preserve">in </w:t>
      </w:r>
      <w:r w:rsidRPr="005B5C4A">
        <w:rPr>
          <w:rFonts w:ascii="Times New Roman" w:hAnsi="Times New Roman" w:cs="Times New Roman"/>
          <w:b/>
          <w:sz w:val="18"/>
          <w:szCs w:val="18"/>
          <w:lang w:val="en-US"/>
        </w:rPr>
        <w:t>Gospels</w:t>
      </w:r>
      <w:r w:rsidRPr="005B5C4A">
        <w:rPr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b/>
          <w:bCs/>
          <w:sz w:val="18"/>
          <w:szCs w:val="18"/>
          <w:lang w:val="en-US"/>
        </w:rPr>
        <w:t>and epistles of apostles in the New testament</w:t>
      </w:r>
    </w:p>
    <w:p w:rsidR="008D07B9" w:rsidRPr="005B5C4A" w:rsidRDefault="008D07B9" w:rsidP="008D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  <w:lang w:val="en-US"/>
        </w:rPr>
      </w:pPr>
    </w:p>
    <w:p w:rsidR="008D07B9" w:rsidRPr="005B5C4A" w:rsidRDefault="008D07B9" w:rsidP="008D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5B5C4A">
        <w:rPr>
          <w:rFonts w:ascii="Times New Roman" w:hAnsi="Times New Roman" w:cs="Times New Roman"/>
          <w:sz w:val="18"/>
          <w:szCs w:val="18"/>
          <w:lang w:val="en-US"/>
        </w:rPr>
        <w:t>Yuri N. Klimov</w:t>
      </w:r>
    </w:p>
    <w:p w:rsidR="008D07B9" w:rsidRPr="005B5C4A" w:rsidRDefault="008D07B9" w:rsidP="008D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5B5C4A">
        <w:rPr>
          <w:rFonts w:ascii="Times New Roman" w:hAnsi="Times New Roman" w:cs="Times New Roman"/>
          <w:sz w:val="18"/>
          <w:szCs w:val="18"/>
          <w:lang w:val="en-US"/>
        </w:rPr>
        <w:t>Moscow, Russia</w:t>
      </w:r>
    </w:p>
    <w:p w:rsidR="008D07B9" w:rsidRPr="005B5C4A" w:rsidRDefault="008D07B9" w:rsidP="008D07B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en-US"/>
        </w:rPr>
      </w:pPr>
      <w:r w:rsidRPr="005B5C4A">
        <w:rPr>
          <w:rFonts w:ascii="Times New Roman" w:hAnsi="Times New Roman" w:cs="Times New Roman"/>
          <w:sz w:val="18"/>
          <w:szCs w:val="18"/>
          <w:lang w:val="en-US"/>
        </w:rPr>
        <w:t xml:space="preserve">E-mail: Yuri klimov29@mail.ru </w:t>
      </w:r>
    </w:p>
    <w:p w:rsidR="008D07B9" w:rsidRPr="005B5C4A" w:rsidRDefault="008D07B9" w:rsidP="008D07B9">
      <w:pPr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sz w:val="18"/>
          <w:szCs w:val="18"/>
          <w:lang w:val="en-US"/>
        </w:rPr>
      </w:pPr>
      <w:r w:rsidRPr="005B5C4A">
        <w:rPr>
          <w:rFonts w:ascii="Arial CYR" w:hAnsi="Arial CYR" w:cs="Arial CYR"/>
          <w:sz w:val="18"/>
          <w:szCs w:val="18"/>
          <w:lang w:val="en-US"/>
        </w:rPr>
        <w:t xml:space="preserve">___________________________________________________________________________________ </w:t>
      </w: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  <w:lang w:val="en-US"/>
        </w:rPr>
      </w:pPr>
      <w:r w:rsidRPr="005B5C4A">
        <w:rPr>
          <w:rFonts w:ascii="Times New Roman" w:hAnsi="Times New Roman" w:cs="Times New Roman"/>
          <w:b/>
          <w:sz w:val="18"/>
          <w:szCs w:val="18"/>
          <w:lang w:val="en-US"/>
        </w:rPr>
        <w:t xml:space="preserve">Abstracts: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Are investigated</w:t>
      </w:r>
      <w:r w:rsidRPr="005B5C4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legomena, dishapax legomena</w:t>
      </w:r>
      <w:r w:rsidRPr="005B5C4A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both</w:t>
      </w:r>
      <w:r w:rsidRPr="005B5C4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>a h-point</w:t>
      </w:r>
      <w:r w:rsidRPr="005B5C4A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in Gospels</w:t>
      </w:r>
      <w:r w:rsidRPr="005B5C4A">
        <w:rPr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bCs/>
          <w:sz w:val="18"/>
          <w:szCs w:val="18"/>
          <w:lang w:val="en-US"/>
        </w:rPr>
        <w:t xml:space="preserve">and epistles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of apostles in the New testament. Quantitative similarity and distinction</w:t>
      </w:r>
      <w:r w:rsidRPr="005B5C4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legomena, dishapax legomena</w:t>
      </w:r>
      <w:r w:rsidRPr="005B5C4A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and</w:t>
      </w:r>
      <w:r w:rsidRPr="005B5C4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>h-points</w:t>
      </w:r>
      <w:r w:rsidRPr="005B5C4A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of the investigated texts are shown. Modeling Gospels</w:t>
      </w:r>
      <w:r w:rsidRPr="005B5C4A">
        <w:rPr>
          <w:rFonts w:ascii="Times New Roman CYR" w:hAnsi="Times New Roman CYR" w:cs="Times New Roman CYR"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is lead and texts of messages of the Apostles, allowing revealing close texts.</w:t>
      </w:r>
    </w:p>
    <w:p w:rsidR="008D07B9" w:rsidRPr="005B5C4A" w:rsidRDefault="008D07B9" w:rsidP="008D07B9">
      <w:pPr>
        <w:tabs>
          <w:tab w:val="left" w:pos="84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18"/>
          <w:szCs w:val="18"/>
          <w:lang w:val="en-US"/>
        </w:rPr>
      </w:pPr>
      <w:r w:rsidRPr="005B5C4A">
        <w:rPr>
          <w:rFonts w:ascii="Times New Roman" w:hAnsi="Times New Roman" w:cs="Times New Roman"/>
          <w:i/>
          <w:iCs/>
          <w:color w:val="000000"/>
          <w:sz w:val="18"/>
          <w:szCs w:val="18"/>
          <w:lang w:val="en-US"/>
        </w:rPr>
        <w:t>Key words:</w:t>
      </w:r>
      <w:r w:rsidRPr="005B5C4A">
        <w:rPr>
          <w:rFonts w:ascii="Times New Roman CYR" w:hAnsi="Times New Roman CYR" w:cs="Times New Roman CYR"/>
          <w:i/>
          <w:iCs/>
          <w:sz w:val="18"/>
          <w:szCs w:val="18"/>
          <w:lang w:val="en-US"/>
        </w:rPr>
        <w:t xml:space="preserve"> 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>hapax legomena, dishapax legomena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>,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a h-point,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cumulative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hapax legomena,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cumulative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dishapax legomena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>, the New testament, number of verses, modeling, the linear equation, the logarithmic equation, the sedate equation, exponential the equation, a polynoms of the second degree, a polynoms of the third degree, a zone of distribution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hapax legomena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dishapax legomena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>, non-uniformity of zones of distribution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hapax legomena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and</w:t>
      </w:r>
      <w:r w:rsidRPr="005B5C4A">
        <w:rPr>
          <w:rFonts w:ascii="Times New Roman" w:hAnsi="Times New Roman" w:cs="Times New Roman"/>
          <w:i/>
          <w:iCs/>
          <w:sz w:val="18"/>
          <w:szCs w:val="18"/>
          <w:lang w:val="en-US"/>
        </w:rPr>
        <w:t xml:space="preserve"> dishapax legomena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 xml:space="preserve">, relative speed, relative </w:t>
      </w:r>
      <w:r w:rsidRPr="005B5C4A">
        <w:rPr>
          <w:rFonts w:ascii="Times New Roman" w:hAnsi="Times New Roman" w:cs="Times New Roman"/>
          <w:i/>
          <w:sz w:val="18"/>
          <w:szCs w:val="18"/>
        </w:rPr>
        <w:t>э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 xml:space="preserve"> exponential speed, volumes of texts, volumes of dictionaries, cumulative volume of the text, cumulative volume of dictionaries, riches of texts, affinity Gospels</w:t>
      </w:r>
      <w:r w:rsidRPr="005B5C4A">
        <w:rPr>
          <w:rFonts w:ascii="Times New Roman" w:hAnsi="Times New Roman" w:cs="Times New Roman"/>
          <w:bCs/>
          <w:i/>
          <w:sz w:val="18"/>
          <w:szCs w:val="18"/>
          <w:lang w:val="en-US"/>
        </w:rPr>
        <w:t xml:space="preserve">. </w:t>
      </w:r>
      <w:r w:rsidRPr="005B5C4A">
        <w:rPr>
          <w:rFonts w:ascii="Times New Roman" w:hAnsi="Times New Roman" w:cs="Times New Roman"/>
          <w:i/>
          <w:sz w:val="18"/>
          <w:szCs w:val="18"/>
          <w:lang w:val="en-US"/>
        </w:rPr>
        <w:t xml:space="preserve">affinity of </w:t>
      </w:r>
      <w:r w:rsidRPr="005B5C4A">
        <w:rPr>
          <w:rFonts w:ascii="Times New Roman" w:hAnsi="Times New Roman" w:cs="Times New Roman"/>
          <w:bCs/>
          <w:i/>
          <w:sz w:val="18"/>
          <w:szCs w:val="18"/>
          <w:lang w:val="en-US"/>
        </w:rPr>
        <w:t>epistles.</w:t>
      </w:r>
    </w:p>
    <w:p w:rsidR="008D07B9" w:rsidRPr="005B5C4A" w:rsidRDefault="008D07B9" w:rsidP="008D07B9">
      <w:p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  <w:lang w:val="en-US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Исследование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-точки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в евангелиях и посланиях апостолов в Новом завете [1] и методики [2] проводили по их величинам, начиная с наибольшей величины, распределение наиболее близких евангелий и посланий Апостолов Нового завета, моделирование по линейному, степенному, логарифмическому и экспоненциальному уравнениям, полиномам второй и третьей степени.  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Исследование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 в евангелиях и посланиях Нового завета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Исследованные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евангелиях и посланиях Нового завета, начиная с наибольшей величины, располагаются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Евангелие от Луки, Деяния святых Апостолов, Евангелие от Марка, Евангелие от Матфея, Евангелие от Иоанна Богослова, Послание к Римлянам, Первое послание к Коринфянам, Послание к Евреям, Второе  послание к Коринфянам, Первое послание к Тимофею, Послание к Ефесянам, Послание Иакова, Послание к Галатам, Первое послание Петра, Второе  послание к Тимофею, Второе  послание Петра, Послание к Филиппийцам, Послание к Колоссянам, Первое послание к Фессалоникейцам, Послание к Титу, Второе  послание к Фессалоникейцам, Послание Иуды, Первое послание Иоанна, Послание к Филимону, Второе  послание Иоанна и Третье  послание Иоанна от 3017 Евангелие от Луки до 116 Третьего  послания Иоанна.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евангелия и послания в Новом завете по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были:</w:t>
      </w:r>
    </w:p>
    <w:p w:rsidR="008D07B9" w:rsidRPr="005B5C4A" w:rsidRDefault="008D07B9" w:rsidP="008D07B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Деяния святых Апостолов, Евангелие от Марка, Евангелие от Матфея;</w:t>
      </w:r>
    </w:p>
    <w:p w:rsidR="008D07B9" w:rsidRPr="005B5C4A" w:rsidRDefault="008D07B9" w:rsidP="008D07B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Иоанна Богослова, Послание к Римлянам, Первое послание к Коринфянам, Послание к Евреям, Второе  послание к Коринфянам;</w:t>
      </w:r>
    </w:p>
    <w:p w:rsidR="008D07B9" w:rsidRPr="005B5C4A" w:rsidRDefault="008D07B9" w:rsidP="008D07B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 Послание к Ефесянам, Послание Иакова, Послание к Галатам, Первое послание Петра;</w:t>
      </w:r>
    </w:p>
    <w:p w:rsidR="008D07B9" w:rsidRPr="005B5C4A" w:rsidRDefault="008D07B9" w:rsidP="008D07B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Тимофею, Второе  послание Петра, Послание к Филиппийцам, Послание к Колоссянам;</w:t>
      </w:r>
    </w:p>
    <w:p w:rsidR="008D07B9" w:rsidRPr="005B5C4A" w:rsidRDefault="008D07B9" w:rsidP="008D07B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Фессалоникейцам, Послание Иуды, Первое послание Иоанна;</w:t>
      </w:r>
    </w:p>
    <w:p w:rsidR="008D07B9" w:rsidRPr="005B5C4A" w:rsidRDefault="008D07B9" w:rsidP="008D07B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Филимону, Второе  послание Иоанна и Третье  послание Иоанна.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По отношению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 к числу стихов в евангелиях и посланиях Нового завета, начиная с наибольшей величины, они располагаются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Послание Иуды,</w:t>
      </w:r>
    </w:p>
    <w:p w:rsidR="008D07B9" w:rsidRPr="005B5C4A" w:rsidRDefault="008D07B9" w:rsidP="008D07B9">
      <w:pPr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 Второе  послание Петра, Третье  послание Иоанна, Послание к Титу, Второе  послание к Фессалоникейцам, Второе  послание к Тимофею, Послание Иакова, Первое послание к Тимофею, Первое послание Петра, Послание к Филимону, Послание к Колоссянам, Послание к Филиппийцам, Первое послание к Фессалоникейцам, Послание к Евреям, Послание к Галатам, Послание к Ефесянам, Второе  послание к Коринфянам, Евангелие от Марка, Послание к Римлянам, Первое послание к Коринфянам, Деяния святых Апостолов, Первое послание Иоанна, Евангелие от Матфея, Евангелие от Иоанна Богослова и Евангелие от Луки от 10,4800 Послания Иуды до 0,2422 Евангелия от Луки.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евангелия и послания в Новом завете по отношению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 числу стихов были:</w:t>
      </w:r>
    </w:p>
    <w:p w:rsidR="008D07B9" w:rsidRPr="005B5C4A" w:rsidRDefault="008D07B9" w:rsidP="008D07B9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Титу, Второе  послание к Фессалоникейцам;</w:t>
      </w:r>
    </w:p>
    <w:p w:rsidR="008D07B9" w:rsidRPr="005B5C4A" w:rsidRDefault="008D07B9" w:rsidP="008D07B9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Фессалоникейцам, Второе  послание к Тимофею, Послание Иакова;</w:t>
      </w:r>
    </w:p>
    <w:p w:rsidR="008D07B9" w:rsidRPr="005B5C4A" w:rsidRDefault="008D07B9" w:rsidP="008D07B9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 Первое послание Петра, Послание к Филимону, Послание к Колоссянам;</w:t>
      </w:r>
    </w:p>
    <w:p w:rsidR="008D07B9" w:rsidRPr="005B5C4A" w:rsidRDefault="008D07B9" w:rsidP="008D07B9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Филиппийцам, Первое послание к Фессалоникейцам, Послание к Евреям, Послание к Галатам, Послание к Ефесянам, Второе  послание к Коринфянам;</w:t>
      </w:r>
    </w:p>
    <w:p w:rsidR="008D07B9" w:rsidRPr="005B5C4A" w:rsidRDefault="008D07B9" w:rsidP="008D07B9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Марка, Послание к Римлянам, Первое послание к Коринфянам;</w:t>
      </w:r>
    </w:p>
    <w:p w:rsidR="008D07B9" w:rsidRPr="005B5C4A" w:rsidRDefault="008D07B9" w:rsidP="008D07B9">
      <w:pPr>
        <w:pStyle w:val="a3"/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Деяния святых Апостолов, Первое послание Иоанна, Евангелие от Матфея.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отношения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числу стихов в евангелиях и посланиях Апостолов, начиная с наибольшей величины (рис.1), представлено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17,7710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-0,6040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, 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0,4846, 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12,1560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-0,0770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0,6610, 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-2,6920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) + 11,3950,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0,9208,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-0,2978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+ 9,0730,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0,9392,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0,0037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- 0,3987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+ 9,5439,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² = 0,9458 и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-0,0015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+ 0,0632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- 1,0535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+ 11,1540,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0,9897, которые описываются  логарифмическим, линейным уравнениями и полиномом второй и третьей степени. При этом относительная скорость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отношения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числу стихов, начиная с наибольшей величины, была выше 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относительной экспоненциальной скорости (-0,6040х и -0,0770х в 7,84 раза).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8D07B9" w:rsidRPr="005B5C4A" w:rsidRDefault="008D07B9" w:rsidP="008D07B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lastRenderedPageBreak/>
        <w:drawing>
          <wp:inline distT="0" distB="0" distL="0" distR="0">
            <wp:extent cx="4572000" cy="1538605"/>
            <wp:effectExtent l="19050" t="0" r="19050" b="4445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8D07B9" w:rsidRPr="005B5C4A" w:rsidRDefault="008D07B9" w:rsidP="008D07B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07B9" w:rsidRPr="005B5C4A" w:rsidRDefault="008D07B9" w:rsidP="008D07B9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Рис.1. Зависимость отношения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числу стихов, начиная с наибольшей величины</w:t>
      </w:r>
    </w:p>
    <w:p w:rsidR="008D07B9" w:rsidRPr="005B5C4A" w:rsidRDefault="008D07B9" w:rsidP="008D07B9">
      <w:pPr>
        <w:pStyle w:val="a3"/>
        <w:spacing w:after="0" w:line="240" w:lineRule="auto"/>
        <w:ind w:left="0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По отношению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 к числу стихов в евангелиях и посланиях Нового завета, начиная с наибольшей величины, они располагаются следующим образом: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Луки,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Иоанна Богослова,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Матфея,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Деяния святых Апостолов,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Марка,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Галатам,</w:t>
      </w:r>
    </w:p>
    <w:p w:rsidR="008D07B9" w:rsidRPr="005B5C4A" w:rsidRDefault="008D07B9" w:rsidP="008D07B9">
      <w:pPr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Евреям, Первое послание к Фессалоникейцам,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Первое послание Петра, Первое послание к Тимофею, Послание Иакова, Второе  послание к Тимофею, Второе  послание к Фессалоникейцам,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Титу,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Второе  послание Петра, Второе  послание Иоанна и Послание Иуды от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131,3770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Евангелия от Луки до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10,4800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Послания Иуды.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Наиболее близкие по отношению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 к числу стихов в евангелиях и посланиях Нового завета, начиная с наибольшей величины, были:</w:t>
      </w:r>
    </w:p>
    <w:p w:rsidR="008D07B9" w:rsidRPr="005B5C4A" w:rsidRDefault="008D07B9" w:rsidP="008D07B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Луки,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Иоанна Богослова,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Матфея,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Деяния святых Апостолов,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Марка,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Галатам;</w:t>
      </w:r>
    </w:p>
    <w:p w:rsidR="008D07B9" w:rsidRPr="005B5C4A" w:rsidRDefault="008D07B9" w:rsidP="008D07B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Евреям, Первое послание к Фессалоникейцам;</w:t>
      </w:r>
    </w:p>
    <w:p w:rsidR="008D07B9" w:rsidRPr="005B5C4A" w:rsidRDefault="008D07B9" w:rsidP="008D07B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Колоссянам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</w:p>
    <w:p w:rsidR="008D07B9" w:rsidRPr="005B5C4A" w:rsidRDefault="008D07B9" w:rsidP="008D07B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Первое послание Петра;</w:t>
      </w:r>
    </w:p>
    <w:p w:rsidR="008D07B9" w:rsidRPr="005B5C4A" w:rsidRDefault="008D07B9" w:rsidP="008D07B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 Послание Иакова;</w:t>
      </w:r>
    </w:p>
    <w:p w:rsidR="008D07B9" w:rsidRPr="005B5C4A" w:rsidRDefault="008D07B9" w:rsidP="008D07B9">
      <w:pPr>
        <w:pStyle w:val="a3"/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к Фессалоникейцам,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Титу.</w:t>
      </w:r>
    </w:p>
    <w:p w:rsidR="008D07B9" w:rsidRPr="005B5C4A" w:rsidRDefault="008D07B9" w:rsidP="008D07B9">
      <w:pPr>
        <w:spacing w:after="0" w:line="240" w:lineRule="auto"/>
        <w:ind w:firstLine="708"/>
        <w:rPr>
          <w:rStyle w:val="ab"/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отношения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числу стихов, начиная с наибольшей величины (рис.2), представлено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26,487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0,0752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² = 0,7948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43,318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(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) - 17,101,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0,9400,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4,8204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+ 19,89,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0,9700,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11,975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0,7681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, 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² = 0,9937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;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-0,126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+ 8,223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+ 4,0113,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0,9997 и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= 0,0003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- 0,1401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+ 8,3778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 + 3,6305, </w:t>
      </w: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² = 0,9997,  которые описываются логарифмическим, линейным и степенным уравнениями, полиномами второй и третьей степени. </w:t>
      </w:r>
    </w:p>
    <w:p w:rsidR="008D07B9" w:rsidRPr="005B5C4A" w:rsidRDefault="008D07B9" w:rsidP="008D07B9">
      <w:pPr>
        <w:pStyle w:val="a3"/>
        <w:spacing w:after="0" w:line="240" w:lineRule="auto"/>
        <w:ind w:left="0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4572000" cy="1362075"/>
            <wp:effectExtent l="19050" t="0" r="19050" b="0"/>
            <wp:docPr id="6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D07B9" w:rsidRPr="005B5C4A" w:rsidRDefault="008D07B9" w:rsidP="008D07B9">
      <w:pPr>
        <w:pStyle w:val="a3"/>
        <w:spacing w:after="0" w:line="240" w:lineRule="auto"/>
        <w:ind w:left="0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Рис.2.  Зависимость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отношения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 числу стихов, начиная с наибольшей величины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При этом относительная скорость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отношения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 числу стихов, начиная с наибольшей величины, была выше 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относительной экспоненциальной скорости (-0,7681 и -0,0752х в 10,21 раза).</w:t>
      </w:r>
    </w:p>
    <w:p w:rsidR="008D07B9" w:rsidRPr="005B5C4A" w:rsidRDefault="008D07B9" w:rsidP="008D07B9">
      <w:pPr>
        <w:spacing w:after="0" w:line="240" w:lineRule="auto"/>
        <w:ind w:left="7788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C4A">
        <w:rPr>
          <w:rFonts w:ascii="Times New Roman" w:hAnsi="Times New Roman" w:cs="Times New Roman"/>
          <w:color w:val="000000"/>
          <w:sz w:val="18"/>
          <w:szCs w:val="18"/>
        </w:rPr>
        <w:t>Таблица 1.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Характеристики объемов текстов 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евангелий и посланий святых Апостолов Нового завета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W w:w="9620" w:type="dxa"/>
        <w:tblInd w:w="108" w:type="dxa"/>
        <w:tblLook w:val="04A0"/>
      </w:tblPr>
      <w:tblGrid>
        <w:gridCol w:w="4536"/>
        <w:gridCol w:w="993"/>
        <w:gridCol w:w="850"/>
        <w:gridCol w:w="1001"/>
        <w:gridCol w:w="899"/>
        <w:gridCol w:w="1341"/>
      </w:tblGrid>
      <w:tr w:rsidR="008D07B9" w:rsidRPr="005B5C4A" w:rsidTr="00C940A2">
        <w:trPr>
          <w:trHeight w:val="37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 xml:space="preserve">     </w:t>
            </w:r>
            <w:r w:rsidRPr="005B5C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KN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val="en-US" w:eastAsia="ru-RU"/>
              </w:rPr>
              <w:t>N</w:t>
            </w:r>
            <w:r w:rsidRPr="005B5C4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(F=1)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ru-RU"/>
              </w:rPr>
              <w:t>KN(F=1)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18"/>
                <w:szCs w:val="18"/>
                <w:lang w:eastAsia="ru-RU"/>
              </w:rPr>
              <w:t>KN(F=1)/KN</w:t>
            </w:r>
          </w:p>
        </w:tc>
      </w:tr>
      <w:tr w:rsidR="008D07B9" w:rsidRPr="005B5C4A" w:rsidTr="00C940A2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Первое послание к Фессалоникейцам</w:t>
            </w: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>*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11425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11425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1433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0,1254</w:t>
            </w:r>
          </w:p>
        </w:tc>
      </w:tr>
      <w:tr w:rsidR="008D07B9" w:rsidRPr="005B5C4A" w:rsidTr="00C940A2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Первое послание к Коринфянам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6741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18166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2811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0,1547</w:t>
            </w:r>
          </w:p>
        </w:tc>
      </w:tr>
      <w:tr w:rsidR="008D07B9" w:rsidRPr="005B5C4A" w:rsidTr="00C940A2">
        <w:trPr>
          <w:trHeight w:val="33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Римлянам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24821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4133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0,1665</w:t>
            </w:r>
          </w:p>
        </w:tc>
      </w:tr>
      <w:tr w:rsidR="008D07B9" w:rsidRPr="005B5C4A" w:rsidTr="00C940A2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Евреям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4815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29636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1080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0,1759</w:t>
            </w:r>
          </w:p>
        </w:tc>
      </w:tr>
      <w:tr w:rsidR="008D07B9" w:rsidRPr="005B5C4A" w:rsidTr="00C940A2">
        <w:trPr>
          <w:trHeight w:val="3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Второе  послание к Коринфянам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4508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34144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673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5886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0,1724</w:t>
            </w:r>
          </w:p>
        </w:tc>
      </w:tr>
      <w:tr w:rsidR="008D07B9" w:rsidRPr="005B5C4A" w:rsidTr="00C940A2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Галатам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2196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36340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6551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0,1803</w:t>
            </w:r>
          </w:p>
        </w:tc>
      </w:tr>
      <w:tr w:rsidR="008D07B9" w:rsidRPr="005B5C4A" w:rsidTr="00C940A2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Ефесянам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2118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38458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651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7202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0,1873</w:t>
            </w:r>
          </w:p>
        </w:tc>
      </w:tr>
      <w:tr w:rsidR="008D07B9" w:rsidRPr="005B5C4A" w:rsidTr="00C940A2">
        <w:trPr>
          <w:trHeight w:val="3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Первое послание Иоанна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1969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40427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7846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0,1941</w:t>
            </w:r>
          </w:p>
        </w:tc>
      </w:tr>
      <w:tr w:rsidR="008D07B9" w:rsidRPr="005B5C4A" w:rsidTr="00C940A2">
        <w:trPr>
          <w:trHeight w:val="42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lastRenderedPageBreak/>
              <w:t>Первое послание Петра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1693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42120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600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8446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0,2005</w:t>
            </w:r>
          </w:p>
        </w:tc>
      </w:tr>
      <w:tr w:rsidR="008D07B9" w:rsidRPr="005B5C4A" w:rsidTr="00C940A2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Иакова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1681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43801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8971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0,2048</w:t>
            </w:r>
          </w:p>
        </w:tc>
      </w:tr>
      <w:tr w:rsidR="008D07B9" w:rsidRPr="005B5C4A" w:rsidTr="00C940A2">
        <w:trPr>
          <w:trHeight w:val="34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Первое послание к Тимофею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1646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45447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9493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0,2089</w:t>
            </w:r>
          </w:p>
        </w:tc>
      </w:tr>
      <w:tr w:rsidR="008D07B9" w:rsidRPr="005B5C4A" w:rsidTr="00C940A2">
        <w:trPr>
          <w:trHeight w:val="40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Филиппийцам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1604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47051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10009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0,2127</w:t>
            </w:r>
          </w:p>
        </w:tc>
      </w:tr>
      <w:tr w:rsidR="008D07B9" w:rsidRPr="005B5C4A" w:rsidTr="00C940A2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Колоссянам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1447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48498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509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10518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0,2169</w:t>
            </w:r>
          </w:p>
        </w:tc>
      </w:tr>
      <w:tr w:rsidR="008D07B9" w:rsidRPr="005B5C4A" w:rsidTr="00C940A2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Второе  послание к Тимофею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1176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49674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415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10933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0,2201</w:t>
            </w:r>
          </w:p>
        </w:tc>
      </w:tr>
      <w:tr w:rsidR="008D07B9" w:rsidRPr="005B5C4A" w:rsidTr="00C940A2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Второе  послание Петра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1077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50751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11267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0,2220</w:t>
            </w:r>
          </w:p>
        </w:tc>
      </w:tr>
      <w:tr w:rsidR="008D07B9" w:rsidRPr="005B5C4A" w:rsidTr="00C940A2">
        <w:trPr>
          <w:trHeight w:val="28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Второе  послание к Фессалоникейцам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769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51520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298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11565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0,2245</w:t>
            </w:r>
          </w:p>
        </w:tc>
      </w:tr>
      <w:tr w:rsidR="008D07B9" w:rsidRPr="005B5C4A" w:rsidTr="00C940A2">
        <w:trPr>
          <w:trHeight w:val="27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Титу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668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52188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11827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0,2266</w:t>
            </w:r>
          </w:p>
        </w:tc>
      </w:tr>
      <w:tr w:rsidR="008D07B9" w:rsidRPr="005B5C4A" w:rsidTr="00C940A2">
        <w:trPr>
          <w:trHeight w:val="31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Иуды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437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52625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261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12088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0,2297</w:t>
            </w:r>
          </w:p>
        </w:tc>
      </w:tr>
      <w:tr w:rsidR="008D07B9" w:rsidRPr="005B5C4A" w:rsidTr="00C940A2">
        <w:trPr>
          <w:trHeight w:val="30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к Филимону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338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52963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12225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0,2308</w:t>
            </w:r>
          </w:p>
        </w:tc>
      </w:tr>
      <w:tr w:rsidR="008D07B9" w:rsidRPr="005B5C4A" w:rsidTr="00C940A2">
        <w:trPr>
          <w:trHeight w:val="240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Второе  послание Иоанна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230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53193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118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12343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0,2320</w:t>
            </w:r>
          </w:p>
        </w:tc>
      </w:tr>
      <w:tr w:rsidR="008D07B9" w:rsidRPr="005B5C4A" w:rsidTr="00C940A2">
        <w:trPr>
          <w:trHeight w:val="255"/>
        </w:trPr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Третье  послание Иоанна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214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53407</w:t>
            </w:r>
          </w:p>
        </w:tc>
        <w:tc>
          <w:tcPr>
            <w:tcW w:w="10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12459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0,2333</w:t>
            </w:r>
          </w:p>
        </w:tc>
      </w:tr>
    </w:tbl>
    <w:p w:rsidR="008D07B9" w:rsidRPr="005B5C4A" w:rsidRDefault="008D07B9" w:rsidP="008D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C4A">
        <w:rPr>
          <w:rFonts w:ascii="Times New Roman" w:hAnsi="Times New Roman" w:cs="Times New Roman"/>
          <w:color w:val="000000"/>
          <w:sz w:val="18"/>
          <w:szCs w:val="18"/>
        </w:rPr>
        <w:t>*Где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N –</w:t>
      </w:r>
      <w:r w:rsidRPr="005B5C4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eastAsia="ru-RU"/>
        </w:rPr>
        <w:t xml:space="preserve"> объем текста,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KN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–</w:t>
      </w:r>
      <w:r w:rsidRPr="005B5C4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eastAsia="ru-RU"/>
        </w:rPr>
        <w:t xml:space="preserve"> кумулятивный объем текста,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val="en-US" w:eastAsia="ru-RU"/>
        </w:rPr>
        <w:t>N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>(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val="en-US" w:eastAsia="ru-RU"/>
        </w:rPr>
        <w:t>F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>=1)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– число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KN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(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val="en-US" w:eastAsia="ru-RU"/>
        </w:rPr>
        <w:t>F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=1) – </w:t>
      </w:r>
      <w:r w:rsidRPr="005B5C4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eastAsia="ru-RU"/>
        </w:rPr>
        <w:t>кумулятивное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число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и 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val="en-US" w:eastAsia="ru-RU"/>
        </w:rPr>
        <w:t>KN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>(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val="en-US" w:eastAsia="ru-RU"/>
        </w:rPr>
        <w:t>F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eastAsia="ru-RU"/>
        </w:rPr>
        <w:t>=1)/</w:t>
      </w:r>
      <w:r w:rsidRPr="005B5C4A">
        <w:rPr>
          <w:rFonts w:ascii="Times New Roman" w:eastAsia="Times New Roman" w:hAnsi="Times New Roman" w:cs="Times New Roman"/>
          <w:b/>
          <w:bCs/>
          <w:i/>
          <w:color w:val="000000"/>
          <w:sz w:val="18"/>
          <w:szCs w:val="18"/>
          <w:lang w:val="en-US" w:eastAsia="ru-RU"/>
        </w:rPr>
        <w:t>KN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-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отношение </w:t>
      </w:r>
      <w:r w:rsidRPr="005B5C4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eastAsia="ru-RU"/>
        </w:rPr>
        <w:t>кумулятивного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числа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к </w:t>
      </w:r>
      <w:r w:rsidRPr="005B5C4A">
        <w:rPr>
          <w:rFonts w:ascii="Times New Roman" w:eastAsia="Times New Roman" w:hAnsi="Times New Roman" w:cs="Times New Roman"/>
          <w:bCs/>
          <w:iCs/>
          <w:color w:val="000000"/>
          <w:sz w:val="18"/>
          <w:szCs w:val="18"/>
          <w:lang w:eastAsia="ru-RU"/>
        </w:rPr>
        <w:t>кумулятивному объему текстов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bCs/>
          <w:iCs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Моделирование зависимость кумулятивных объемов текстов и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от последовательности текстов, начиная с наибольшей величины (рис. 3), показало, что кумулятивных объемов текстов представлены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1815,9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+ 21771,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0,8579,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13983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0,4781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0,9587, у = -128,19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+ 4636,1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+ 10960,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0,9824 и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7,5353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- 376,86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+ 6875,6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+ 6384,6,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0,9944, а 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зависимость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от последовательности текстов, начиная с наибольшей величины: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519,91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+ 3005,7,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0,9348,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1820,4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0,6736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0,9765,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-24,82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+ 1065,9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+ 912,6,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0,9968 и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0,6511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- 46,305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+ 1259,4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+ 517,27,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0,998 и которые описываются в обоих случаях степенными уравнениями и полиномами второй и третьей степени.</w:t>
      </w:r>
    </w:p>
    <w:p w:rsidR="008D07B9" w:rsidRPr="005B5C4A" w:rsidRDefault="008D07B9" w:rsidP="008D07B9">
      <w:pPr>
        <w:spacing w:after="0" w:line="240" w:lineRule="auto"/>
        <w:jc w:val="both"/>
        <w:rPr>
          <w:bCs/>
          <w:iCs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18"/>
          <w:szCs w:val="18"/>
          <w:lang w:val="en-US"/>
        </w:rPr>
      </w:pPr>
      <w:r w:rsidRPr="005B5C4A">
        <w:rPr>
          <w:rFonts w:ascii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05475" cy="2009775"/>
            <wp:effectExtent l="19050" t="0" r="9525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 3. Зависимость кумулятивных объемов текстов и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последовательности текстов, начиная с наибольшей величины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Рассмотрим долю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 последовательности текстов евангелий и посланий Апостолов, начиная с наибольшей величины. Так, она располагалась по убыванию следующим образом: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Луки,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Деяния святых Апостолов,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Марка,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Матфея,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Новый завет,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Откровения Иоанна Богослова,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 и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 от 0,6265 Евангелия от Луки до 0,0363 Первого послания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а по кумулятивной доле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в последовательности текстов – от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0,6265 Евангелия от Луки до 11,1495 Первого послания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Наиболее близкими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по доле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последовательности текстов, начиная с наибольшей величины,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были: 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Луки,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Деяния святых Апостолов,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Марка,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Матфея,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Новый завет,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Откровения Иоанна Богослова,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Иоанна, </w:t>
      </w:r>
    </w:p>
    <w:p w:rsidR="008D07B9" w:rsidRPr="005B5C4A" w:rsidRDefault="008D07B9" w:rsidP="008D07B9">
      <w:pPr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по кумулятивной доле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в последовательности текстов: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Деяния святых Апостолов,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Марка,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Иоанна,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 Новый завет,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Иоанна,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Петра,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Первое послание Петра,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Послание Иакова,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Откровения Иоанна Богослова,</w:t>
      </w:r>
    </w:p>
    <w:p w:rsidR="008D07B9" w:rsidRPr="005B5C4A" w:rsidRDefault="008D07B9" w:rsidP="008D07B9">
      <w:pPr>
        <w:pStyle w:val="a3"/>
        <w:numPr>
          <w:ilvl w:val="0"/>
          <w:numId w:val="1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Иоанна,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Проведенное моделирование отношения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к объему текстов показало, что они по убыванию представлены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y = 1,1903x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-0,505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, R² = 0,4872, y = 0,8803e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-0,064x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, R² = 0,7339,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y = -0,17ln(x) + 0,81, R² = 0,7737,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y = -0,0196x + 0,682, R² = 0,9755,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y = -0,0003x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- 0,0113x + 0,6407, R² = 0,9863, y = -2E-05x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+ 0,0007x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- 0,0228x + 0,6709, R² = 0,9896 и  описываются линейным уравнением и полиномами второй и третьей степени, а моделирование отношения кумулятивной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объему текстов по возрастанию -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1,9003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0,0779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0,7785,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3,7778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- 2,1087,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0,9316,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0,3958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+ 1,3116,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0,9705,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0,7375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0,8563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0,9912,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-0,0096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+ 0,673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- 0,0742,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0,9999,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-05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- 0,007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+ 0,6432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+ 0,0039,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0,9999 и описываются логарифмическим,   линейным и степенным уравнениями, полиномами второй и третьей степени. В обоих случаях относительная скорость отношения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и ее кумулятивной доли к объему текстов была выше, чем относительная экспоненциальная отрицательная и положительная скорость.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5472112" cy="1943100"/>
            <wp:effectExtent l="19050" t="0" r="14288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 4. Зависимость отношения 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объему текстов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4229100" cy="2119312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 5. Зависимость кумулятивной 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объему текстов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lastRenderedPageBreak/>
        <w:t xml:space="preserve">Рассмотрим долю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последовательности словарей евангелий и посланий Апостолов, начиная с наибольшей величины. Так, она располагалась по убыванию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Евангелие от Луки, Деяния святых Апостолов, Евангелие от Марка, Евангелие от Матфея, Евангелие от Иоанна, Новый завет, Послание Иуды Второе  послание Петра,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Второе  послание Иоанна, Третье  послание Иоанна,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Иакова, Первое послание Петра,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Откровения Иоанна Богослова и  Первое послание Иоанна от 1,6831 Евангелия от Луки до 0,5158 Первого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Наиболее близкими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по доле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в последовательности объемов словарей евангелий и посланий Апостолов по убыванию, начиная с наибольшей величины,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были: </w:t>
      </w:r>
    </w:p>
    <w:p w:rsidR="008D07B9" w:rsidRPr="005B5C4A" w:rsidRDefault="008D07B9" w:rsidP="008D07B9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Луки, Деяния святых Апостолов, Евангелие от Марка, Евангелие от Матфея,</w:t>
      </w:r>
    </w:p>
    <w:p w:rsidR="008D07B9" w:rsidRPr="005B5C4A" w:rsidRDefault="008D07B9" w:rsidP="008D07B9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Иоанна, Новый завет,</w:t>
      </w:r>
    </w:p>
    <w:p w:rsidR="008D07B9" w:rsidRPr="005B5C4A" w:rsidRDefault="008D07B9" w:rsidP="008D07B9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Иуды, Второе  послание Петра,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</w:t>
      </w:r>
    </w:p>
    <w:p w:rsidR="008D07B9" w:rsidRPr="005B5C4A" w:rsidRDefault="008D07B9" w:rsidP="008D07B9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Второе  послание Иоанна, Третье  послание Иоанна,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Иакова, Первое послание Петра,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</w:t>
      </w:r>
    </w:p>
    <w:p w:rsidR="008D07B9" w:rsidRPr="005B5C4A" w:rsidRDefault="008D07B9" w:rsidP="008D07B9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</w:p>
    <w:p w:rsidR="008D07B9" w:rsidRPr="005B5C4A" w:rsidRDefault="008D07B9" w:rsidP="008D07B9">
      <w:pPr>
        <w:pStyle w:val="a3"/>
        <w:numPr>
          <w:ilvl w:val="0"/>
          <w:numId w:val="20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Откровения Иоанна Богослова, Первое послание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>Перейдем к исследованию зависимости кумулятивной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последовательности словарей евангелий и посланий Апостолов, начиная с наибольшей величины.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Так же, как и для </w:t>
      </w: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зависимости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последовательности словарей евангелий и посланий Апостолов, начиная с наибольшей величины,</w:t>
      </w: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 зависимости кумулятивной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 последовательности словарей евангелий и посланий Апостолов были одинаковыми. Отличие состоит в том, что близость евангелий и посланий Апостолов, исходя из кумулятивных долей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, будет иной: 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Петра,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Второе  послание Иоанна, Третье  послание Иоанна,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Иакова, Первое послание Петра,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</w:p>
    <w:p w:rsidR="008D07B9" w:rsidRPr="005B5C4A" w:rsidRDefault="008D07B9" w:rsidP="008D07B9">
      <w:pPr>
        <w:pStyle w:val="a3"/>
        <w:numPr>
          <w:ilvl w:val="0"/>
          <w:numId w:val="21"/>
        </w:numPr>
        <w:spacing w:after="0" w:line="240" w:lineRule="auto"/>
        <w:ind w:left="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Откровения Иоанна Богослова, Первое послание Иоанна от 1,6831 Евангелия от Луки до 24,6770 Первого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Проведенное моделирование зависимости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от объема словарей евангелий и посланий Апостолов показало, что они по убыванию представлены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-0,0329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+ 1,358,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0,6677,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1,3533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-0,033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0,7551,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0,0025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- 0,1057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+ 1,7219,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0,8701,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-0,369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+ 1,7758,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0,8861,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1,972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-0,354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0,9021,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-0,0002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+ 0,0125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- 0,2236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+ 2,0317,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0,9546  и описываются степенным уравнением и полиномом второй степени, а для  моделирования кумулятивной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от объема словарей  показано ее возрастание: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4,6777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0,0698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0,798,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7,5354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- 3,3463,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0,9231,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0,7996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+ 3,3297,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0,9863,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2,0481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0,7579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0,9923,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-0,0114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+ 1,1293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+ 1,6814,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0,9966,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0,0007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- 0,0436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+ 1,5094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+ 0,6832,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0,9988  и описываются логарифмическим, линейным,  степенным уравнениями и полиномами второй и третьей степени. И в этом случае относительная скорость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 и кумулятивной ее доли от объема словаря была выше, чем относительная экспоненциальная отрицательная и положительная скорость.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5153025" cy="2200275"/>
            <wp:effectExtent l="19050" t="0" r="9525" b="0"/>
            <wp:docPr id="1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 6. Зависимость отношения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объему словарей</w:t>
      </w:r>
    </w:p>
    <w:p w:rsidR="008D07B9" w:rsidRPr="005B5C4A" w:rsidRDefault="008D07B9" w:rsidP="008D07B9">
      <w:pPr>
        <w:spacing w:after="0" w:line="240" w:lineRule="auto"/>
        <w:jc w:val="both"/>
        <w:rPr>
          <w:rStyle w:val="ab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5129530" cy="2009775"/>
            <wp:effectExtent l="19050" t="0" r="13970" b="0"/>
            <wp:docPr id="1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Рис.7. Моделирование зависимости кумулятивной доли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от объема словарей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Моделирование зависимости кумулятивных объемов словарей и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последовательности текстов, начиная с наибольшей величины (рис. 8), представлены следующими уравнениями: для кумулятивных объемов словарей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= 4802,4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vertAlign w:val="superscript"/>
        </w:rPr>
        <w:t>0,0749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² = 0,7626,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714,07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+ 4281,9,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0,9461,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5487,1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+ 279,31,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0,97,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2726,7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0,6431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0,9766,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-29,036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+ 1352,9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+ 1833,1,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0,9917 и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0,7561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- 53,989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+ 1577,6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+ 1374,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0,9925, которые описываются линейным, логарифмическим, степенным уравнениями и полиномами второй и третьей степени.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В этом случае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зависимость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от последовательности текстов, начиная с наибольшей величины, представлена уравнениями: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3318,2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0,0778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0,7493,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519,91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+ 3005,7,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0,9348,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1820,4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0,6736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0,9765,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= 4034,3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>(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) + 6,8234,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² = 0,9772, 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-24,82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+ 1065,9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+ 912,6,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0,9968 и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0,6511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- 46,305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+ 1259,4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+ 517,27,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0,998, которые описываются  линейным, степенным и логарифмическим уравнениями и полиномами второй и третьей степени. Показано, что относительные скорости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кумулятивных объемов словарей и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 последовательности текстов, начиная с наибольшей величины, были значительно выше относительных экспоненциальных скоростей. В обоих случаях выявляются три неравномерные зоны кумулятивных словарей и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исследованных текстов, начиная с наибольшей величины.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bCs w:val="0"/>
          <w:i w:val="0"/>
          <w:iCs w:val="0"/>
          <w:color w:val="000000"/>
          <w:kern w:val="24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5953125" cy="2200275"/>
            <wp:effectExtent l="19050" t="0" r="9525" b="0"/>
            <wp:docPr id="1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 8. Зависимость кумулятивных объемов словарей (верхняя кривая) и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(нижняя кривая) от последовательности текстов, начиная с наибольшей величины</w:t>
      </w:r>
    </w:p>
    <w:p w:rsidR="008D07B9" w:rsidRPr="005B5C4A" w:rsidRDefault="008D07B9" w:rsidP="008D07B9">
      <w:pPr>
        <w:spacing w:after="0" w:line="240" w:lineRule="auto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Зависимость натурального логарифма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их последовательности, начиная с наибольшей величины, представлена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9,0185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0,0057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0,6322,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0,0538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+ 9,0294,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0,661,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-0,0047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+ 0,1803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+ 8,439,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0,8856,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8,3926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0,0633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0,9294,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0,5874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+ 8,3718,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0,9453,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y = 0,0004x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- 0,0214x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+ 0,3638x + 7,9878, R² = 0,9599 и описывается  степенным, логарифмическим уравнениями и полиномом третьей степени. В этом случае относительная скорость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натурального логарифма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 их последовательности, начиная с наибольшей величины, была выше относительной экспоненциальной скорости в 11,11 раза и наблюдается также неравномерные три зоны распределения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.</w:t>
      </w:r>
    </w:p>
    <w:p w:rsidR="008D07B9" w:rsidRPr="005B5C4A" w:rsidRDefault="008D07B9" w:rsidP="008D07B9">
      <w:pPr>
        <w:spacing w:after="0" w:line="240" w:lineRule="auto"/>
        <w:ind w:firstLine="708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  <w:lang w:val="en-US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lastRenderedPageBreak/>
        <w:drawing>
          <wp:inline distT="0" distB="0" distL="0" distR="0">
            <wp:extent cx="4572000" cy="1824038"/>
            <wp:effectExtent l="19050" t="0" r="19050" b="4762"/>
            <wp:docPr id="1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 9. Зависимость натурального логарифма кумулятивных объемов текстов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их последовательности, начиная с наибольшей величины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ab/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Исследование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 в евангелиях и посланиях Нового завета</w:t>
      </w:r>
    </w:p>
    <w:p w:rsidR="008D07B9" w:rsidRPr="005B5C4A" w:rsidRDefault="008D07B9" w:rsidP="008D07B9">
      <w:pPr>
        <w:tabs>
          <w:tab w:val="left" w:pos="1448"/>
        </w:tabs>
        <w:spacing w:after="0" w:line="240" w:lineRule="auto"/>
        <w:ind w:firstLine="708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Рассмотрим свойства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 евангелий и посланий Нового завета. Так, число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текстах, начиная с наибольшей величины,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Деяния святых Апостолов, Евангелие от Луки, Евангелие от Матфея, Евангелие от Марка, Евангелие от Иоанна Богослова, Первое послание к Коринфянам, Послание к Римлянам, Послание к Евреям, Второе  послание к Коринфянам, Послание к Ефесянам, Послание к Галатам, Первое послание Петра, Послание Иакова, Первое послание к Тимофею, Послание к Филиппийцам, Послание к Колоссянам, Первое послание Иоанна, Первое послание к Фессалоникейцам, Второе  послание Петра, Второе  послание к Тимофею, Второе  послание к Фессалоникейцам, Послание к Титу, Послание к Филимону, Послание Иуды, Третье  послание Иоанна и  Второе  послание Иоанна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составило от  737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Деяний святых Апостолов до 16 Второго 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евангелиях и посланиях Нового завета были </w:t>
      </w:r>
    </w:p>
    <w:p w:rsidR="008D07B9" w:rsidRPr="005B5C4A" w:rsidRDefault="008D07B9" w:rsidP="008D07B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Деяния святых Апостолов, Евангелие от Луки, </w:t>
      </w:r>
    </w:p>
    <w:p w:rsidR="008D07B9" w:rsidRPr="005B5C4A" w:rsidRDefault="008D07B9" w:rsidP="008D07B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Римлянам, Послание к Евреям, Второе  послание к Коринфянам, </w:t>
      </w:r>
    </w:p>
    <w:p w:rsidR="008D07B9" w:rsidRPr="005B5C4A" w:rsidRDefault="008D07B9" w:rsidP="008D07B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Ефесянам, Послание к Галатам, Первое послание Петра, Послание Иакова, Первое послание к Тимофею, </w:t>
      </w:r>
    </w:p>
    <w:p w:rsidR="008D07B9" w:rsidRPr="005B5C4A" w:rsidRDefault="008D07B9" w:rsidP="008D07B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Филиппийцам, Послание к Колоссянам, Первое послание Иоанна, </w:t>
      </w:r>
    </w:p>
    <w:p w:rsidR="008D07B9" w:rsidRPr="005B5C4A" w:rsidRDefault="008D07B9" w:rsidP="008D07B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Петра, Второе  послание к Тимофею, </w:t>
      </w:r>
    </w:p>
    <w:p w:rsidR="008D07B9" w:rsidRPr="005B5C4A" w:rsidRDefault="008D07B9" w:rsidP="008D07B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к Фессалоникейцам, Послание к Титу, </w:t>
      </w:r>
    </w:p>
    <w:p w:rsidR="008D07B9" w:rsidRPr="005B5C4A" w:rsidRDefault="008D07B9" w:rsidP="008D07B9">
      <w:pPr>
        <w:pStyle w:val="a3"/>
        <w:numPr>
          <w:ilvl w:val="0"/>
          <w:numId w:val="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 и  Второе  послание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Так,  кумулятивное число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текстах, начиная с наибольшей величины,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располагалось следующим образом: Деяния святых Апостолов, Евангелие от Луки, Евангелие от Матфея, Евангелие от Марка, Евангелие от Иоанна Богослова, Первое послание к Коринфянам, Послание к Римлянам, Послание к Евреям, Второе  послание к Коринфянам, Послание к Ефесянам, Послание к Галатам, Первое послание Петра, Послание Иакова, Первое послание к Тимофею, Послание к Филиппийцам, Послание к Колоссянам, Первое послание Иоанна, Первое послание к Фессалоникейцам, Второе  послание Петра, Второе  послание к Тимофею, Второе  послание к Фессалоникейцам, Послание к Титу, Послание к Филимону, Послание Иуды, Третье  послание Иоанна и  Второе  послание Иоанна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составило от 5350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Деяний святых Апостолов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 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до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737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Второго 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кумулятивные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 евангелий и посланий Нового завета, начиная с наибольшей величины, были:</w:t>
      </w:r>
    </w:p>
    <w:p w:rsidR="008D07B9" w:rsidRPr="005B5C4A" w:rsidRDefault="008D07B9" w:rsidP="008D07B9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Матфея, Евангелие от Марка, </w:t>
      </w:r>
    </w:p>
    <w:p w:rsidR="008D07B9" w:rsidRPr="005B5C4A" w:rsidRDefault="008D07B9" w:rsidP="008D07B9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Иоанна Богослова, Первое послание к Коринфянам, Послание к Римлянам, Послание к Евреям, </w:t>
      </w:r>
    </w:p>
    <w:p w:rsidR="008D07B9" w:rsidRPr="005B5C4A" w:rsidRDefault="008D07B9" w:rsidP="008D07B9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Коринфянам, Послание к Ефесянам, Послание к Галатам, Первое послание Петра, Послание Иакова, Первое послание к Тимофею, Послание к Филиппийцам, Послание к Колоссянам, Первое послание Иоанна,</w:t>
      </w:r>
    </w:p>
    <w:p w:rsidR="008D07B9" w:rsidRPr="005B5C4A" w:rsidRDefault="008D07B9" w:rsidP="008D07B9">
      <w:pPr>
        <w:pStyle w:val="a3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Фессалоникейцам, Второе  послание Петра, Второе  послание к Тимофею, Второе  послание к Фессалоникейцам, Послание к Титу, Послание к Филимону, Послание Иуды, Третье  послание Иоанна и  Второе  послание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По натуральному логарифму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кумулятивные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 евангелий и посланий Нового завета, начиная с наибольшей величины, имели следующие значения: от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6,6025 Деяния святых Апостолов, до 8,5848 Второго 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Наиболее близкие</w:t>
      </w: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 по натуральному логарифму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кумулятивные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 евангелий и посланий Нового завета, начиная с наибольшей величины, были: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Луки, Евангелие от Матфея, Евангелие от Марка, </w:t>
      </w:r>
    </w:p>
    <w:p w:rsidR="008D07B9" w:rsidRPr="005B5C4A" w:rsidRDefault="008D07B9" w:rsidP="008D07B9">
      <w:pPr>
        <w:pStyle w:val="a3"/>
        <w:numPr>
          <w:ilvl w:val="0"/>
          <w:numId w:val="6"/>
        </w:numPr>
        <w:spacing w:after="0" w:line="240" w:lineRule="auto"/>
        <w:ind w:left="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Иоанна Богослова, Первое послание к Коринфянам, Послание к Римлянам, Послание к Евреям, Второе  послание к Коринфянам, Послание к Ефесянам, Послание к Галатам, Первое послание Петра, Послание Иакова, Первое послание к Тимофею, Послание к Филиппийцам, Послание к Колоссянам, Первое послание Иоанна, Первое послание к Фессалоникейцам, Второе  послание Петра, Второе  послание к Тимофею, Второе  послание к Фессалоникейцам, Послание к Титу, Послание к Филимону, Послание Иуды, Третье  послание Иоанна и  Второе  послание Иоанна. 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натуральных логарифмов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 евангелий и посланий Нового завета (рис.10), начиная с наибольшей величины, представлено следующими уравнениями: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0,0472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+ 7,6326,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0,6060,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-0,0045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+ 0,1689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+ 7,0643,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0,8543,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7,0352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0,0679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0,8943, 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0,5291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+ 7,0226,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0,9151.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Натуральные логарифмы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 евангелий и посланий Нового завета (рис.), начиная с наибольшей величины,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описываются логарифмическим уравнением. При этом относительная скорость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 xml:space="preserve">натуральных логарифмов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указанных текстов была выше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относительной экспоненциальной скорости  в 113,17 раза.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4572000" cy="1147763"/>
            <wp:effectExtent l="19050" t="0" r="19050" b="0"/>
            <wp:docPr id="15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Рис.10. Зависимость натуральных логарифмов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текстах евангелий и посланий Нового завета (рис.10), начиная с наибольшей величины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Рассмотрим свойства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 евангелий и посланий Нового завета.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Так,  число  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словарях, начиная с наибольшей величины, было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Титу,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 и Второе  послание Иоанна снижалось от 304 Первого послания к Коринфянам до 16 Второго 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этом случае наиболее близкие по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числу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словарях, начиная с наибольшей величины, были: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Тимофею,</w:t>
      </w:r>
    </w:p>
    <w:p w:rsidR="008D07B9" w:rsidRPr="005B5C4A" w:rsidRDefault="008D07B9" w:rsidP="008D07B9">
      <w:pPr>
        <w:pStyle w:val="a3"/>
        <w:numPr>
          <w:ilvl w:val="0"/>
          <w:numId w:val="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Титу.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По кумулятивному числу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словарях, начиная с наибольшей величины, располагалось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Первое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Титу,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Третье  послание Иоанна и Второе  послание Иоанна от 304 Первого послания к Коринфянам до 2268 Второго  послания Иоанна, а по их натуральному логарифму увеличивалось от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5,7170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Первого послания к Коринфянам до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7,7266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Второго 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по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кумулятивному числу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словарях, начиная с наибольшей величины, были: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Титу,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 и Второе  послание Иоанна,</w:t>
      </w: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а  по их натуральному логарифму: </w:t>
      </w:r>
    </w:p>
    <w:p w:rsidR="008D07B9" w:rsidRPr="005B5C4A" w:rsidRDefault="008D07B9" w:rsidP="008D07B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9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Титу,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 и Второе  послание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натуральных логарифмов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кумулятивного числа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словарях, начиная с наибольшей величины (рис.11), представлено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= 6,5364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vertAlign w:val="superscript"/>
        </w:rPr>
        <w:t>0,0100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, 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² = 0,6856,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0,0699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+ 6,5444,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0,7237,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-0,0067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+ 0,2164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+ 5,9827,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0,9152,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6,0178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0,089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0,9479,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0,6128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+ 5,9889,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0,9662,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0,0007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- 0,0283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+ 0,4115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+ 5,5842,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0,9669 и  описываются полиномом второй степени, степенным, логарифмическим уравнениями и полиномом третьей степени. При этом относительная скорость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натурального логарифма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кумулятивного числа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словарях, начиная с наибольшей величины, была намного выше их экспоненциальной относительной скорости в 89 раз.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4572000" cy="1314450"/>
            <wp:effectExtent l="19050" t="0" r="19050" b="0"/>
            <wp:docPr id="1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Рис. 11.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Зависимость натуральных логарифмов кумулятивных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 евангелий и посланий Нового завета, начиная с наибольшей величины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Интересным было исследование отношения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в евангелиях и посланиях Нового завета для объемов текстов и объемов словарей.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Так, по отношению количества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исследованные евангелия и послания располагались следующим образом, начиная с наибольшей величины: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Послание Иуды, Второе  послание Иоанна, Второе  послание Петра, Третье  послание Иоанна, Послание к Титу, Второе  послание к Фессалоникейцам, Второе  послание к Тимофею, Послание Иакова, Первое послание к Тимофею, Первое послание Петра, Послание к Филимону, Послание к Колоссянам, Послание к Филиппийцам, Первое послание к Фессалоникейцам, Послание к Евреям, Послание к Галатам, Послание к Ефесянам, Второе  послание к Коринфянам, Евангелие от Марка, Послание к Римлянам, Первое послание к Коринфянам, Деяния святыз Апостолов, Первое послание Иоанна, Евангелие от Матфея, Евангелие от Иоанна Богослова  и  Евангелие от Луки  снижалось от 10,4800 Послания Иуды до 0,2422 Евангелия от Луки.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отношению количества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имели следующие евангелия и послания,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начиная с наибольшей величины: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b/>
          <w:bCs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Третье  послание Иоанна, Послание к Титу, </w:t>
      </w:r>
    </w:p>
    <w:p w:rsidR="008D07B9" w:rsidRPr="005B5C4A" w:rsidRDefault="008D07B9" w:rsidP="008D07B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b/>
          <w:bCs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к Фессалоникейцам, Второе  послание к Тимофею, Послание Иакова, </w:t>
      </w:r>
    </w:p>
    <w:p w:rsidR="008D07B9" w:rsidRPr="005B5C4A" w:rsidRDefault="008D07B9" w:rsidP="008D07B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b/>
          <w:bCs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к Тимофею, Первое послание Петра, Послание к Филимону, Послание к Колоссянам, </w:t>
      </w:r>
    </w:p>
    <w:p w:rsidR="008D07B9" w:rsidRPr="005B5C4A" w:rsidRDefault="008D07B9" w:rsidP="008D07B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b/>
          <w:bCs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Филиппийцам, Первое послание к Фессалоникейцам, Послание к Евреям, Послание к Галатам, Послание к Ефесянам, Второе  послание к Коринфянам, </w:t>
      </w:r>
    </w:p>
    <w:p w:rsidR="008D07B9" w:rsidRPr="005B5C4A" w:rsidRDefault="008D07B9" w:rsidP="008D07B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b/>
          <w:bCs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Марка, Послание к Римлянам, Первое послание к Коринфянам,</w:t>
      </w:r>
    </w:p>
    <w:p w:rsidR="008D07B9" w:rsidRPr="005B5C4A" w:rsidRDefault="008D07B9" w:rsidP="008D07B9">
      <w:pPr>
        <w:pStyle w:val="a3"/>
        <w:numPr>
          <w:ilvl w:val="0"/>
          <w:numId w:val="10"/>
        </w:numPr>
        <w:spacing w:after="0" w:line="240" w:lineRule="auto"/>
        <w:ind w:left="0"/>
        <w:jc w:val="both"/>
        <w:rPr>
          <w:b/>
          <w:bCs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Деяния святых Апостолов, Первое послание Иоанна, Евангелие от Матфея. 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Так, по отношению кумулятивного количества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исследованные евангелия и послания располагались следующим образом, начиная с наибольшей величины: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Евангелие от Луки, Евангелие от Иоанна Богослова, Евангелие от Матфея, Первое послание Иоанна, Деяния святых Апостолов, Первое послание к Коринфянам,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Евангелие от Марка, Второе  послание к Коринфянам, Послание к Ефесянам, Послание к Галатам, Послание к Евреям, Первое послание к Фессалоникейцам,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Первое послание Петра, Первое послание к Тимофею, Послание Иакова, Второе  послание к Тимофею, Второе  послание к Фессалоникейцам,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Титу,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Второе  послание Петра, Второе  послание Иоанна и Послание Иуды уменьшалось от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131,3770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Евангелие от Луки  до </w:t>
      </w:r>
      <w:r w:rsidRPr="005B5C4A">
        <w:rPr>
          <w:rFonts w:ascii="Times New Roman" w:hAnsi="Times New Roman" w:cs="Times New Roman"/>
          <w:color w:val="000000"/>
          <w:sz w:val="18"/>
          <w:szCs w:val="18"/>
        </w:rPr>
        <w:t>10,4800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Послания Иуды.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отношению кумулятивного количества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имели следующие евангелия и послания,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начиная с наибольшей величины, были: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Луки, Евангелие от Иоанна Богослова, Евангелие от Матфея, Первое послание Иоанна, Деяния святых Апостолов, Первое послание к Коринфянам,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Евангелие от Марка, Второе  послание к Коринфянам, Послание к Ефесянам Послание к Галатам, </w:t>
      </w:r>
    </w:p>
    <w:p w:rsidR="008D07B9" w:rsidRPr="005B5C4A" w:rsidRDefault="008D07B9" w:rsidP="008D07B9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Евреям, Первое послание к Фессалоникейцам, </w:t>
      </w:r>
    </w:p>
    <w:p w:rsidR="008D07B9" w:rsidRPr="005B5C4A" w:rsidRDefault="008D07B9" w:rsidP="008D07B9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Первое послание Петра, </w:t>
      </w:r>
    </w:p>
    <w:p w:rsidR="008D07B9" w:rsidRPr="005B5C4A" w:rsidRDefault="008D07B9" w:rsidP="008D07B9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к Тимофею, Послание Иакова, </w:t>
      </w:r>
    </w:p>
    <w:p w:rsidR="008D07B9" w:rsidRPr="005B5C4A" w:rsidRDefault="008D07B9" w:rsidP="008D07B9">
      <w:pPr>
        <w:pStyle w:val="a3"/>
        <w:numPr>
          <w:ilvl w:val="0"/>
          <w:numId w:val="11"/>
        </w:numPr>
        <w:spacing w:after="0" w:line="240" w:lineRule="auto"/>
        <w:ind w:left="0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к Фессалоникейцам, </w:t>
      </w:r>
      <w:r w:rsidRPr="005B5C4A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Послание к Титу.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bCs/>
          <w:iCs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>Перейдем к отношению</w:t>
      </w:r>
      <w:r w:rsidRPr="005B5C4A">
        <w:rPr>
          <w:bCs/>
          <w:iCs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количества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к числу стихов в евангелиях и посланиях Нового завета. Так, это отношение, начиная с наибольшей величины, изменялось: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Филимону, Второе  послание Иоанна, Третье  послание Иоанна, Второе  послание Петра, Второе  послание к Фессалоникейцам, Первое послание Петра, Послание Иуды, Послание Иакова, Послание к Титу, Второе  послание к Коринфянам, Послание к Колоссянам, Первое послание к Тимофею, Послание к Филиппийцам, Первое послание к Фессалоникейцам, Послание к Ефесянам, Первое послание Иоанна, Послание к Евреям Второе  послание к Тимофею Послание к Галатам, Евангелие от Марка, Деяния святыз Апостолов, Первое послание к Коринфянам, Послание к Римлянам, Евангелие от Матфея, Евангелие от Луки и Евангелие от Иоанна Богослова от  1,3200 Послания к Филимону до 0,4869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Евангелия от Иоанна Богослова.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Наиболее близкие по отношению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 xml:space="preserve">dishapax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были следующие евангелия и послания Нового завета, начиная с наибольшей величины: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Филимону, Второе  послание Иоанна, Третье  послание Иоанна, Второе  послание Петра, Второе  послание к Фессалоникейцам, Первое послание Петра, Послание Иуды, </w:t>
      </w:r>
    </w:p>
    <w:p w:rsidR="008D07B9" w:rsidRPr="005B5C4A" w:rsidRDefault="008D07B9" w:rsidP="008D07B9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Иакова, Послание к Титу, Второе  послание к Коринфянам, </w:t>
      </w:r>
    </w:p>
    <w:p w:rsidR="008D07B9" w:rsidRPr="005B5C4A" w:rsidRDefault="008D07B9" w:rsidP="008D07B9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Колоссянам, Первое послание к Тимофею, Послание к Филиппийцам, Первое послание к Фессалоникейцам, Послание к Ефесянам, Первое послание Иоанна, </w:t>
      </w:r>
    </w:p>
    <w:p w:rsidR="008D07B9" w:rsidRPr="005B5C4A" w:rsidRDefault="008D07B9" w:rsidP="008D07B9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к Евреям, Второе  послание к Тимофею Послание к Галатам, Евангелие от Марка, Деяния святых Апостолов, </w:t>
      </w:r>
    </w:p>
    <w:p w:rsidR="008D07B9" w:rsidRPr="005B5C4A" w:rsidRDefault="008D07B9" w:rsidP="008D07B9">
      <w:pPr>
        <w:pStyle w:val="a3"/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к Коринфянам, Послание к Римлянам, Евангелие от Матфея, Евангелие от Луки.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>Перейдем к отношению</w:t>
      </w:r>
      <w:r w:rsidRPr="005B5C4A">
        <w:rPr>
          <w:bCs/>
          <w:iCs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кумулятивного</w:t>
      </w:r>
      <w:r w:rsidRPr="005B5C4A">
        <w:rPr>
          <w:bCs/>
          <w:iCs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к числу стихов в евангелиях и посланиях Нового завета. Так, это отношение, начиная с наибольшей величины, изменялось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Евангелие от Иоанна Богослова, Евангелие от Луки, Евангелие от Матфея, Послание к Римлянам, Первое послание к Коринфянам, Деяния святых Апостолов, Евангелие от Марка, Послание к Галатам, Второе  послание к Тимофею, Послание к Евреям, Первое послание Иоанна, Послание к Ефесянам, Первое послание к Фессалоникейцам, Послание к Филиппийцам, Первое послание к Тимофею, Послание к Колоссянам, Второе  послание к Коринфянам, Послание к Титу, Послание Иакова, Послание Иуды, Первое послание Петра, Второе  послание к Фессалоникейцам, Второе  послание Петра, Третье  послание Иоанна, Второе  послание Иоанна и  Послания к Филимону от 1,3200 Послание к Филимону до 0,4869 Евангелия от Иоанна Богослова. 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lastRenderedPageBreak/>
        <w:t>Наиболее близкие к отношению</w:t>
      </w:r>
      <w:r w:rsidRPr="005B5C4A">
        <w:rPr>
          <w:bCs/>
          <w:iCs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кумулятивного</w:t>
      </w:r>
      <w:r w:rsidRPr="005B5C4A">
        <w:rPr>
          <w:bCs/>
          <w:iCs/>
          <w:sz w:val="18"/>
          <w:szCs w:val="18"/>
        </w:rPr>
        <w:t xml:space="preserve">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 xml:space="preserve">dishapax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в евангелиях и посланиях Нового завета были:</w:t>
      </w:r>
    </w:p>
    <w:p w:rsidR="008D07B9" w:rsidRPr="005B5C4A" w:rsidRDefault="008D07B9" w:rsidP="008D07B9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Иоанна Богослова, Евангелие от Луки, Евангелие от Матфея, Послание к Римлянам, Первое послание к Коринфянам, </w:t>
      </w:r>
    </w:p>
    <w:p w:rsidR="008D07B9" w:rsidRPr="005B5C4A" w:rsidRDefault="008D07B9" w:rsidP="008D07B9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Деяния святых Апостолов, Евангелие от Марка, Послание к Галатам, Второе  послание к Тимофею, Послание к Евреям, Первое послание Иоанна, Послание к Ефесянам, Первое послание к Фессалоникейцам, Послание к Филиппийцам, Первое послание к Тимофею, Послание к Колоссянам, Второе  послание к Коринфянам, </w:t>
      </w:r>
    </w:p>
    <w:p w:rsidR="008D07B9" w:rsidRPr="005B5C4A" w:rsidRDefault="008D07B9" w:rsidP="008D07B9">
      <w:pPr>
        <w:pStyle w:val="a3"/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к Титу, Послание Иакова, Послание Иуды, Первое послание Петра, Второе  послание к Фессалоникейцам, Второе  послание Петра, Третье  послание Иоанна, Второе  послание Иоанна и  Послания к Филимону.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отношения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в евангелиях и посланиях Нового завета (рис. 12),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начиная с наибольшей величины, представлено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1,5253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-0,247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0,8468,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-0,0245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+ 1,2046,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0,9292,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1,2511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-0,028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0,9333,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-0,224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+ 1,4027,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0,9357,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0,0005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- 0,0371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+ 1,2635,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0,9444,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-0,0001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+ 0,0055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- 0,0926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+ 1,3999,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0,9904 и описывается: линейным, экспоненциальным и логарифмическим уравнениями, полиномами второй и третьей степени. При этом относительная скорость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отношения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 xml:space="preserve">dishapax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в евангелиях и посланиях Нового завета,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начиная с наибольшей величины, была намного выше, чем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относительная экспоненциальная скорость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в 8,82 раза.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bCs/>
          <w:iCs/>
          <w:sz w:val="18"/>
          <w:szCs w:val="18"/>
          <w:lang w:val="en-US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color w:val="auto"/>
          <w:sz w:val="18"/>
          <w:szCs w:val="18"/>
          <w:lang w:eastAsia="ru-RU"/>
        </w:rPr>
        <w:drawing>
          <wp:inline distT="0" distB="0" distL="0" distR="0">
            <wp:extent cx="4572000" cy="2295525"/>
            <wp:effectExtent l="19050" t="0" r="19050" b="0"/>
            <wp:docPr id="17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bCs/>
          <w:iCs/>
          <w:sz w:val="18"/>
          <w:szCs w:val="18"/>
          <w:lang w:val="en-US"/>
        </w:rPr>
      </w:pPr>
    </w:p>
    <w:p w:rsidR="008D07B9" w:rsidRPr="005B5C4A" w:rsidRDefault="008D07B9" w:rsidP="008D07B9">
      <w:pPr>
        <w:spacing w:after="0" w:line="240" w:lineRule="auto"/>
        <w:ind w:firstLine="708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Рис.12. Зависимость отношения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к числу стихов</w:t>
      </w:r>
      <w:r w:rsidRPr="005B5C4A">
        <w:rPr>
          <w:rStyle w:val="ab"/>
          <w:rFonts w:ascii="Times New Roman" w:hAnsi="Times New Roman" w:cs="Times New Roman"/>
          <w:i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от последовательности текстов евангелий и посланий, начиная с наибольших</w:t>
      </w:r>
    </w:p>
    <w:p w:rsidR="008D07B9" w:rsidRPr="005B5C4A" w:rsidRDefault="008D07B9" w:rsidP="008D07B9">
      <w:pPr>
        <w:spacing w:after="0" w:line="240" w:lineRule="auto"/>
        <w:ind w:firstLine="708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bCs/>
          <w:iCs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noProof/>
          <w:sz w:val="18"/>
          <w:szCs w:val="18"/>
          <w:lang w:eastAsia="ru-RU"/>
        </w:rPr>
        <w:drawing>
          <wp:inline distT="0" distB="0" distL="0" distR="0">
            <wp:extent cx="4572000" cy="1719263"/>
            <wp:effectExtent l="19050" t="0" r="19050" b="0"/>
            <wp:docPr id="18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bCs/>
          <w:iCs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>Рис. 13. Зависимость</w:t>
      </w:r>
      <w:r w:rsidRPr="005B5C4A">
        <w:rPr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отношения кумулятивного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в евангелиях и посланиях Нового завета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отношения кумулятивного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b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в евангелиях и посланиях Нового завета (рис. 13),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начиная с наибольшей величины, представлено следующими уравнениями: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3,411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0,0862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0,8290,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7,4007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(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) - 4,2629,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0,9015,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0,8511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+ 1,6852,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0,9935, 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1,4269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0,8638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0,9987,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-0,0102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+ 1,1275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+ 0,3950,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² = 0,9999,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= 9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-05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- 0,0141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+ 1,1697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+ 0,2912 </w:t>
      </w:r>
      <w:r w:rsidRPr="005B5C4A">
        <w:rPr>
          <w:rFonts w:ascii="Times New Roman" w:hAnsi="Times New Roman" w:cs="Times New Roman"/>
          <w:bCs/>
          <w:iCs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² = 0,9999 и описывается:</w:t>
      </w:r>
      <w:r w:rsidRPr="005B5C4A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л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огарифмическим линейным, степенным уравнениями, полиномами второй и третьей степени. При этом относительная скорость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отношения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числа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 xml:space="preserve">dishapax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к числу стихов в евангелиях и посланиях Нового завета,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начиная с наибольшей величины, была намного выше, чем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относительная экспоненциальная скорость</w:t>
      </w:r>
      <w:r w:rsidRPr="005B5C4A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в 10,02 раза.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Интересным было исследование отношение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к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. Так, начиная с наибольшей величины, евангелия и послания Апостолов располагалось следующим образом: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Апостола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lastRenderedPageBreak/>
        <w:t>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Евангелие от Луки, 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Деяния святых Апостолов, Откровения Иоанна Богослова, Евангелие от Матфея, Евангелие от Марка, Евангелие от Иоанна, Новый завет и Первое послание Иоанна от </w:t>
      </w:r>
      <w:r w:rsidRPr="005B5C4A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10,4800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Послания Иуды до </w:t>
      </w:r>
      <w:r w:rsidRPr="005B5C4A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>3,1071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Первого послания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Наиболее близкими по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отношению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к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были следующие евангелия и послания Апостолов: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</w:t>
      </w:r>
    </w:p>
    <w:p w:rsidR="008D07B9" w:rsidRPr="005B5C4A" w:rsidRDefault="008D07B9" w:rsidP="008D07B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Евангелие от Луки, 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Деяния святых Апостолов, </w:t>
      </w:r>
    </w:p>
    <w:p w:rsidR="008D07B9" w:rsidRPr="005B5C4A" w:rsidRDefault="008D07B9" w:rsidP="008D07B9">
      <w:pPr>
        <w:pStyle w:val="a3"/>
        <w:numPr>
          <w:ilvl w:val="0"/>
          <w:numId w:val="22"/>
        </w:numPr>
        <w:spacing w:after="0" w:line="240" w:lineRule="auto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Откровения Иоанна Богослова, Евангелие от Матфея, Евангелие от Марка, Евангелие от Иоанна, Новый завет и Первое послание Иоанна.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Затем было исследовано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отношение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к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тексте евангелий и посланий Апостолов, начиная с наибольшей величины, располагалось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Второе  послание Иоанна, Третье  послание Иоанна, Послание Иуды, 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 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Второе  послание Петра, 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Иакова, Первое послание Петра,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</w:t>
      </w:r>
    </w:p>
    <w:p w:rsidR="008D07B9" w:rsidRPr="005B5C4A" w:rsidRDefault="008D07B9" w:rsidP="008D07B9">
      <w:pPr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 Первое послание Иоанна, Евангелие от Иоанна, Евангелие от Марка,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 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Евангелие от Матфея, Евангелие от Луки, Деяния святых Апостолов, 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Откровения Иоанна Богослова и  Новый завет от </w:t>
      </w:r>
      <w:r w:rsidRPr="005B5C4A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>0,0321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Второго  послания Иоанна до </w:t>
      </w:r>
      <w:r w:rsidRPr="005B5C4A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0,0002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Нового завета.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Наиболее близкими по  отношению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к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тексте             были: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Иоанна, Третье  послание Иоанна,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Второе  послание Петра,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Иакова, Первое послание Петра,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Иоанна, Евангелие от Марка,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 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Евангелие от Матфея, Евангелие от Луки, Деяния святых Апостолов,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</w:t>
      </w:r>
    </w:p>
    <w:p w:rsidR="008D07B9" w:rsidRPr="005B5C4A" w:rsidRDefault="008D07B9" w:rsidP="008D07B9">
      <w:pPr>
        <w:pStyle w:val="a3"/>
        <w:numPr>
          <w:ilvl w:val="0"/>
          <w:numId w:val="23"/>
        </w:numPr>
        <w:spacing w:after="0" w:line="240" w:lineRule="auto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Откровения Иоанна Богослова.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eastAsia="Times New Roman" w:hAnsi="Times New Roman" w:cs="Times New Roman"/>
          <w:b w:val="0"/>
          <w:bCs w:val="0"/>
          <w:i w:val="0"/>
          <w:iCs w:val="0"/>
          <w:color w:val="000000"/>
          <w:sz w:val="18"/>
          <w:szCs w:val="18"/>
          <w:lang w:eastAsia="ru-RU"/>
        </w:rPr>
        <w:t xml:space="preserve">Потом было исследовано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отношение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к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 евангелий и посланий Апостолов, начиная с наибольшей величины, располагалось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Второе  послание Иоанна, Третье  послание Иоанна, Послание Иуды, 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 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Второе  послание Петра, 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Иакова, Первое послание Петра, Первое послание Иоанна,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 Евангелие от Марка, Второе 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 Евангелие от Иоанна, Евангелие от Луки, Послание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Деяния святых Апостолов, Евангелие от Матфея, Первое послание </w:t>
      </w:r>
      <w:r w:rsidRPr="005B5C4A">
        <w:rPr>
          <w:rFonts w:ascii="Times New Roman" w:eastAsia="Times New Roman" w:hAnsi="Times New Roman" w:cs="Times New Roman"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Откровения Иоанна Богослова и  Новый завет от </w:t>
      </w:r>
      <w:r w:rsidRPr="005B5C4A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0,0488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Второго  послания Иоанна до </w:t>
      </w:r>
      <w:r w:rsidRPr="005B5C4A">
        <w:rPr>
          <w:rFonts w:ascii="Calibri" w:eastAsia="Times New Roman" w:hAnsi="Calibri" w:cs="Times New Roman"/>
          <w:color w:val="000000"/>
          <w:sz w:val="18"/>
          <w:szCs w:val="18"/>
          <w:lang w:eastAsia="ru-RU"/>
        </w:rPr>
        <w:t xml:space="preserve">0,0004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Нового завета.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Наиболее близкими по  отношению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к </w:t>
      </w:r>
      <w:r w:rsidRPr="005B5C4A">
        <w:rPr>
          <w:rFonts w:ascii="Times New Roman" w:hAnsi="Times New Roman" w:cs="Times New Roman"/>
          <w:i/>
          <w:color w:val="000000"/>
          <w:kern w:val="24"/>
          <w:sz w:val="18"/>
          <w:szCs w:val="18"/>
        </w:rPr>
        <w:t>dishapax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в словарях евангелий и посланий Апостолов, начиная с набольшей величины, были: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Иоанна, Третье  послание Иоанна,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Филимону,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Титу,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Второе  послание Петра,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Фессалоникейцам,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Колоссянам,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Филиппийцам,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Тимофею, Послание Иакова, Первое послание Петра,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Иоанна,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Галатам,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Ефесянам,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Евангелие от Марка, Второе 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Коринфянам,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Евреям, Евангелие от Иоанна, </w:t>
      </w:r>
    </w:p>
    <w:p w:rsidR="008D07B9" w:rsidRPr="005B5C4A" w:rsidRDefault="008D07B9" w:rsidP="008D07B9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lastRenderedPageBreak/>
        <w:t>Евангелие от Луки, Послание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 xml:space="preserve"> 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Римлянам, Деяния святых Апостолов, Евангелие от Матфея, Первое послание </w:t>
      </w:r>
      <w:r w:rsidRPr="005B5C4A">
        <w:rPr>
          <w:rFonts w:ascii="Times New Roman" w:eastAsia="Times New Roman" w:hAnsi="Times New Roman" w:cs="Times New Roman"/>
          <w:b/>
          <w:bCs/>
          <w:i/>
          <w:iCs/>
          <w:color w:val="000000"/>
          <w:sz w:val="18"/>
          <w:szCs w:val="18"/>
          <w:lang w:eastAsia="ru-RU"/>
        </w:rPr>
        <w:t>Апостола Павла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к Коринфянам.</w:t>
      </w:r>
    </w:p>
    <w:p w:rsidR="008D07B9" w:rsidRPr="005B5C4A" w:rsidRDefault="008D07B9" w:rsidP="008D07B9">
      <w:pPr>
        <w:pStyle w:val="a3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07B9" w:rsidRPr="005B5C4A" w:rsidRDefault="008D07B9" w:rsidP="008D07B9">
      <w:pPr>
        <w:pStyle w:val="a3"/>
        <w:spacing w:after="0" w:line="240" w:lineRule="auto"/>
        <w:ind w:left="1428"/>
        <w:jc w:val="both"/>
        <w:rPr>
          <w:rStyle w:val="ab"/>
          <w:rFonts w:ascii="Times New Roman" w:hAnsi="Times New Roman" w:cs="Times New Roman"/>
          <w:color w:val="auto"/>
          <w:sz w:val="18"/>
          <w:szCs w:val="18"/>
        </w:rPr>
      </w:pP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>Исследование богатства словарей евангелий и посланий Нового завета</w:t>
      </w:r>
    </w:p>
    <w:p w:rsidR="008D07B9" w:rsidRPr="005B5C4A" w:rsidRDefault="008D07B9" w:rsidP="008D07B9">
      <w:pPr>
        <w:pStyle w:val="a3"/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Рассмотрим применение формулы Попеску-Альтманна [3] для исследования богатства словарей евангелий и посланий апостолов в Новом завете (табл. 2), где 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N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и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h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координаты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h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точки,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приблизительное богатство словарей  и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– уточненное богатство словарей.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Так, координаты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h-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точки, определяемые по формуле </w:t>
      </w:r>
      <w:r w:rsidRPr="005B5C4A">
        <w:rPr>
          <w:rFonts w:ascii="Times New Roman" w:hAnsi="Times New Roman" w:cs="Times New Roman"/>
          <w:bCs/>
          <w:iCs/>
          <w:sz w:val="18"/>
          <w:szCs w:val="18"/>
        </w:rPr>
        <w:t>Попеску-Альтманна для евангелий и посланий в Новом завете, начиная с наибольшей величины, имели следующие значения: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Евангелие от Матфея, Евангелие от Иоанна, Евангелие от Луки, Деяния святых Апостолов, Евангелие от Марка, Первое послание к Коринфянам, Послание к Римлянам, Второе  послание к Коринфянам, Послание к Евреям,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Галатам, Послание к Ефесянам, Первое послание к Фессалоникейцам,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Филиппийцам,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Колоссянам, Второе  послание к Тимофею, Первое послание к Тимофею,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Второе  послание к Фессалоникейцам, Послание к Титу, Послание к Филимону,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 и Третье  послание Иоанна, которые уменьшались от 48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Евангелие от Матфея и Евангелие от Иоанна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до 4,5 Третьего  послание Иоанна.</w:t>
      </w:r>
    </w:p>
    <w:p w:rsidR="008D07B9" w:rsidRPr="005B5C4A" w:rsidRDefault="008D07B9" w:rsidP="008D07B9">
      <w:pPr>
        <w:spacing w:after="0" w:line="240" w:lineRule="auto"/>
        <w:ind w:left="7080" w:firstLine="708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>Таблица 2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Характеристики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h-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точки, приблизительного и уточненного богатства словарей в евангелиях и посланиях апостолов в Новом завете</w:t>
      </w:r>
    </w:p>
    <w:tbl>
      <w:tblPr>
        <w:tblW w:w="8356" w:type="dxa"/>
        <w:tblInd w:w="108" w:type="dxa"/>
        <w:tblLook w:val="04A0"/>
      </w:tblPr>
      <w:tblGrid>
        <w:gridCol w:w="4820"/>
        <w:gridCol w:w="608"/>
        <w:gridCol w:w="976"/>
        <w:gridCol w:w="976"/>
        <w:gridCol w:w="976"/>
      </w:tblGrid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Тексты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lang w:eastAsia="ru-RU"/>
              </w:rPr>
              <w:t>1-F(h)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18"/>
                <w:u w:val="single"/>
                <w:lang w:eastAsia="ru-RU"/>
              </w:rPr>
              <w:t>1-F(h)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Третье  послание Иоанна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0,8552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0,9739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Первое послание Иоанна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17,5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0,6473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0,9502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Иуды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0,9016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0,9413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Филимону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0,8462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0,9366</w:t>
            </w:r>
          </w:p>
        </w:tc>
      </w:tr>
      <w:tr w:rsidR="008D07B9" w:rsidRPr="005B5C4A" w:rsidTr="00C940A2">
        <w:trPr>
          <w:trHeight w:val="27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Первое послание к Фессалоникейцам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0,7025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0,9255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Послание Иакова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0,8102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0,9245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Римлянам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0,6916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0,9019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Первое послание Петра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0,7868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0,8990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Галатам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16,5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0,7487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0,8974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Евреям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0,7416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0,8937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Второе  послание к Тимофею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0,8002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0,8918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Второе  послание Иоанна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0,8087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0,8915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Филиппийцам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0,8869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Титу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0,8278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0,8866</w:t>
            </w:r>
          </w:p>
        </w:tc>
      </w:tr>
      <w:tr w:rsidR="008D07B9" w:rsidRPr="005B5C4A" w:rsidTr="00C940A2">
        <w:trPr>
          <w:trHeight w:val="27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Второе  послание к Фессалоникейцам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0,7841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0,8862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Ефесянам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0,7663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0,8861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Второе  послание Петра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0,8139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0,8842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Послание к Колоссянам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0,7512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0,8728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Первое послание к Тимофею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0,7989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0,8677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Второе  послание к Коринфянам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0,6617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0,8615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Первое послание к Коринфянам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30,5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0,6487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0,8612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Деяния святых Апостолов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43,5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0,6780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0,8675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Евангелие от Иоанна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0,6066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0,9777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Евангелие от Марка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0,6773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</w:rPr>
              <w:t>0,8623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Евангелие от Луки 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0,6499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B5C4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0,8700</w:t>
            </w:r>
          </w:p>
        </w:tc>
      </w:tr>
      <w:tr w:rsidR="008D07B9" w:rsidRPr="005B5C4A" w:rsidTr="00C940A2">
        <w:trPr>
          <w:trHeight w:val="300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8D07B9" w:rsidRPr="005B5C4A" w:rsidRDefault="008D07B9" w:rsidP="00C940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Евангелие от Матфея</w:t>
            </w:r>
          </w:p>
        </w:tc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48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0,6515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D07B9" w:rsidRPr="005B5C4A" w:rsidRDefault="008D07B9" w:rsidP="00C940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5B5C4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0,9172</w:t>
            </w:r>
          </w:p>
        </w:tc>
      </w:tr>
    </w:tbl>
    <w:p w:rsidR="008D07B9" w:rsidRPr="005B5C4A" w:rsidRDefault="008D07B9" w:rsidP="008D07B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 этом случае наиболее близкие координаты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h-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точки, начиная с наибольшей величины, были: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Евангелие от Матфея, Евангелие от Иоанна, Евангелие от Луки, Деяния святых Апостолов,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Евангелие от Марка, Первое послание к Коринфянам, Послание к Римлянам,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Второе  послание к Коринфянам, Послание к Евреям,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Галатам, Послание к Ефесянам,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Первое послание к Фессалоникейцам,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Филиппийцам,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Колоссянам,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Второе  послание к Тимофею, Первое послание к Тимофею,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Второе  послание к Фессалоникейцам,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lastRenderedPageBreak/>
        <w:t xml:space="preserve">Послание к Титу, Послание к Филимону, </w:t>
      </w:r>
    </w:p>
    <w:p w:rsidR="008D07B9" w:rsidRPr="005B5C4A" w:rsidRDefault="008D07B9" w:rsidP="008D07B9">
      <w:pPr>
        <w:pStyle w:val="a3"/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Второе  послание Иоанна и Третье  послание Иоанна. </w:t>
      </w: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hAnsi="Times New Roman" w:cs="Times New Roman"/>
          <w:sz w:val="18"/>
          <w:szCs w:val="18"/>
        </w:rPr>
        <w:t xml:space="preserve">По приблизительному богатству словаря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>евангелия и послания апостолов, начиная с наибольшей величины, располагались следующим образом: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Послание Иуды, Третье  послание Иоанна,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Титу,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Второе  послание Петра, Послание Иакова, Второе  послание Иоанна,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Второе  послание к Тимофею,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Первое послание к Тимофею,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Первое послание Петра,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Второе  послание к Фессалоникейцам,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Галатам,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Евреям,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Первое послание к Фессалоникейцам,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Деяния святых Апостолов,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Евангелие от Марка,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Евангелие от Матфея,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Евангелие от Луки,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Первое послание к Коринфянам,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Иоанна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и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Евангелие от Иоанна оно уменьшалось от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0,9016 Послания Иуды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до </w:t>
      </w:r>
      <w:r w:rsidRPr="005B5C4A">
        <w:rPr>
          <w:rFonts w:ascii="Times New Roman" w:hAnsi="Times New Roman" w:cs="Times New Roman"/>
          <w:bCs/>
          <w:color w:val="000000"/>
          <w:sz w:val="18"/>
          <w:szCs w:val="18"/>
        </w:rPr>
        <w:t>0,6066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Евангелие от Иоанна.</w:t>
      </w: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ab/>
        <w:t xml:space="preserve">Наиболее близкие значения </w:t>
      </w:r>
      <w:r w:rsidRPr="005B5C4A">
        <w:rPr>
          <w:rFonts w:ascii="Times New Roman" w:hAnsi="Times New Roman" w:cs="Times New Roman"/>
          <w:sz w:val="18"/>
          <w:szCs w:val="18"/>
        </w:rPr>
        <w:t xml:space="preserve">приблизительного богатство словаря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>евангелия и послания апостолов, начиная с наибольшей величины, было: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Послание Иуды, Третье  послание Иоанна,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Филимону,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Титу,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Второе  послание Петра, Послание Иакова, Второе  послание Иоанна,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Второе  послание к Тимофею,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Первое послание к Тимофею,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Петра,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Второе  послание к Фессалоникейцам,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Ефесянам,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Колоссянам,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Филиппийцам,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Галатам,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Евреям,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Первое послание к Фессалоникейцам,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</w:p>
    <w:p w:rsidR="008D07B9" w:rsidRPr="005B5C4A" w:rsidRDefault="008D07B9" w:rsidP="008D07B9">
      <w:pPr>
        <w:pStyle w:val="a3"/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Послание к Римлянам,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Деяния святых Апостолов,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Евангелие от Марка,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Второе  послание к Коринфянам,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Евангелие от Матфея,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Евангелие от Луки,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Первое послание к Коринфянам,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Первое послание Иоанна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и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Евангелие от Иоанна.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</w:t>
      </w:r>
      <w:r w:rsidRPr="005B5C4A">
        <w:rPr>
          <w:rFonts w:ascii="Times New Roman" w:hAnsi="Times New Roman" w:cs="Times New Roman"/>
          <w:sz w:val="18"/>
          <w:szCs w:val="18"/>
        </w:rPr>
        <w:t xml:space="preserve">приблизительного богатства словарей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 xml:space="preserve">евангелий и посланий апостолов, начиная с наибольшей величины, представлено на </w:t>
      </w:r>
      <w:r w:rsidRPr="005B5C4A">
        <w:rPr>
          <w:rFonts w:ascii="Times New Roman" w:hAnsi="Times New Roman" w:cs="Times New Roman"/>
          <w:b/>
          <w:sz w:val="18"/>
          <w:szCs w:val="18"/>
        </w:rPr>
        <w:t xml:space="preserve">рис. 14. </w:t>
      </w:r>
      <w:r w:rsidRPr="005B5C4A">
        <w:rPr>
          <w:rFonts w:ascii="Times New Roman" w:hAnsi="Times New Roman" w:cs="Times New Roman"/>
          <w:sz w:val="18"/>
          <w:szCs w:val="18"/>
        </w:rPr>
        <w:t>Оно показало,  что представленные тексты имеют следующие зависимости: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 = 0,9483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vertAlign w:val="superscript"/>
        </w:rPr>
        <w:t>-0,099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color w:val="000000"/>
          <w:kern w:val="24"/>
          <w:sz w:val="18"/>
          <w:szCs w:val="18"/>
        </w:rPr>
        <w:t>² = 0,7841,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sz w:val="18"/>
          <w:szCs w:val="18"/>
        </w:rPr>
        <w:t xml:space="preserve"> = -0,0760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ln</w:t>
      </w:r>
      <w:r w:rsidRPr="005B5C4A">
        <w:rPr>
          <w:rFonts w:ascii="Times New Roman" w:hAnsi="Times New Roman" w:cs="Times New Roman"/>
          <w:sz w:val="18"/>
          <w:szCs w:val="18"/>
        </w:rPr>
        <w:t>(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</w:rPr>
        <w:t xml:space="preserve">) + 0,9340,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sz w:val="18"/>
          <w:szCs w:val="18"/>
        </w:rPr>
        <w:t>² = 0,8219, y = 0,8961e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-0,014x</w:t>
      </w:r>
      <w:r w:rsidRPr="005B5C4A">
        <w:rPr>
          <w:rFonts w:ascii="Times New Roman" w:hAnsi="Times New Roman" w:cs="Times New Roman"/>
          <w:sz w:val="18"/>
          <w:szCs w:val="18"/>
        </w:rPr>
        <w:t>, R² = 0,9414,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>y = -0,0108x + 0,8880, R² = 0,9510, y = -0,0002x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sz w:val="18"/>
          <w:szCs w:val="18"/>
        </w:rPr>
        <w:t xml:space="preserve"> - 0,0067x + 0,8720, R² = 0,9594,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sz w:val="18"/>
          <w:szCs w:val="18"/>
        </w:rPr>
        <w:t xml:space="preserve"> = -6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sz w:val="18"/>
          <w:szCs w:val="18"/>
        </w:rPr>
        <w:t>-05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sz w:val="18"/>
          <w:szCs w:val="18"/>
        </w:rPr>
        <w:t xml:space="preserve"> + 0,0017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sz w:val="18"/>
          <w:szCs w:val="18"/>
        </w:rPr>
        <w:t xml:space="preserve"> - 0,0233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</w:rPr>
        <w:t xml:space="preserve"> + 0,9060,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sz w:val="18"/>
          <w:szCs w:val="18"/>
        </w:rPr>
        <w:t>² = 0,9800 и описываются экспоненциальной, линейной уравнениями и полиномами второй и третьей степени. И в этом случае относительная скорость приблизительного богатства словарей была выше относительной экспоненциальной скорости в 7,07 раза.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sz w:val="18"/>
          <w:szCs w:val="18"/>
        </w:rPr>
      </w:pPr>
      <w:r w:rsidRPr="005B5C4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600700" cy="1495425"/>
            <wp:effectExtent l="19050" t="0" r="19050" b="0"/>
            <wp:docPr id="19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sz w:val="18"/>
          <w:szCs w:val="18"/>
        </w:rPr>
        <w:t xml:space="preserve">Рис. 14. Зависимость приблизительного богатства словарей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>евангелий и посланий апостолов, начиная с наибольшей величины, от их последовательности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По уточненному богатству словарей </w:t>
      </w:r>
      <w:r w:rsidRPr="005B5C4A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hAnsi="Times New Roman" w:cs="Times New Roman"/>
          <w:sz w:val="18"/>
          <w:szCs w:val="18"/>
        </w:rPr>
        <w:t xml:space="preserve"> евангелия и послания апостолов, начиная с наибольшей величины, располагались следующим образом: 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Евангелие от Иоанна,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Филимону, Первое послание к Фессалоникейцам,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Евангелие от Матфея, Послание к Римлянам,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Галатам, Послание к Евреям, Второе  послание к Тимофею,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Филиппийцам, Послание к Титу, Второе  послание к Фессалоникейцам, Послание к Ефесянам,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Колоссянам, Евангелие от Луки, Первое послание к Тимофею, Деяния святых Апостолов, Евангелие от Марка, Второе  послание к Коринфянам и Первое послание к Коринфянам оно уменьшалось от </w:t>
      </w:r>
      <w:r w:rsidRPr="005B5C4A">
        <w:rPr>
          <w:rFonts w:ascii="Times New Roman" w:hAnsi="Times New Roman" w:cs="Times New Roman"/>
          <w:bCs/>
          <w:color w:val="000000"/>
          <w:sz w:val="18"/>
          <w:szCs w:val="18"/>
        </w:rPr>
        <w:t xml:space="preserve">0,9777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Евангелия от Иоанна до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0,8612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Первого послания к Коринфянам.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sz w:val="18"/>
          <w:szCs w:val="18"/>
        </w:rPr>
        <w:t xml:space="preserve">Наиболее близкие значения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уточненного богатства словарей </w:t>
      </w:r>
      <w:r w:rsidRPr="005B5C4A">
        <w:rPr>
          <w:rFonts w:ascii="Times New Roman" w:eastAsia="Times New Roman" w:hAnsi="Times New Roman" w:cs="Times New Roman"/>
          <w:b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hAnsi="Times New Roman" w:cs="Times New Roman"/>
          <w:sz w:val="18"/>
          <w:szCs w:val="18"/>
        </w:rPr>
        <w:t xml:space="preserve"> евангелий и посланий апостолов, начиная с наибольшей величины, были:</w:t>
      </w:r>
    </w:p>
    <w:p w:rsidR="008D07B9" w:rsidRPr="005B5C4A" w:rsidRDefault="008D07B9" w:rsidP="008D07B9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Евангелие от Иоанна,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Филимону, Первое послание к Фессалоникейцам,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Евангелие от Матфея, Послание к Римлянам, </w:t>
      </w:r>
    </w:p>
    <w:p w:rsidR="008D07B9" w:rsidRPr="005B5C4A" w:rsidRDefault="008D07B9" w:rsidP="008D07B9">
      <w:pPr>
        <w:pStyle w:val="a3"/>
        <w:numPr>
          <w:ilvl w:val="0"/>
          <w:numId w:val="17"/>
        </w:numPr>
        <w:spacing w:after="0" w:line="240" w:lineRule="auto"/>
        <w:ind w:left="0"/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Галатам, Послание к Евреям, Второе  послание к Тимофею,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Филиппийцам, Послание к Титу, Второе  послание к Фессалоникейцам, Послание к Ефесянам,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Колоссянам, Евангелие от Луки, Первое послание к Тимофею, Деяния святых Апостолов, Евангелие от Марка, Второе  послание к Коринфянам и Первое послание к Коринфянам.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Моделирование </w:t>
      </w:r>
      <w:r w:rsidRPr="005B5C4A">
        <w:rPr>
          <w:rFonts w:ascii="Times New Roman" w:hAnsi="Times New Roman" w:cs="Times New Roman"/>
          <w:sz w:val="18"/>
          <w:szCs w:val="18"/>
        </w:rPr>
        <w:t xml:space="preserve">уточненного богатства словарей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>евангелий и посланий апостолов, начиная с наибольшей величины, представлено на рис. 15. Оно показало,  что представленные тексты имеют следующие зависимости: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sz w:val="18"/>
          <w:szCs w:val="18"/>
          <w:lang w:val="en-US"/>
        </w:rPr>
        <w:t>y</w:t>
      </w:r>
      <w:r w:rsidRPr="005B5C4A">
        <w:rPr>
          <w:sz w:val="18"/>
          <w:szCs w:val="18"/>
        </w:rPr>
        <w:t xml:space="preserve"> = -0,0046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</w:rPr>
        <w:t xml:space="preserve"> + 0,9513, </w:t>
      </w:r>
      <w:r w:rsidRPr="005B5C4A">
        <w:rPr>
          <w:sz w:val="18"/>
          <w:szCs w:val="18"/>
          <w:lang w:val="en-US"/>
        </w:rPr>
        <w:t>R</w:t>
      </w:r>
      <w:r w:rsidRPr="005B5C4A">
        <w:rPr>
          <w:sz w:val="18"/>
          <w:szCs w:val="18"/>
        </w:rPr>
        <w:t xml:space="preserve">² = 0,8859, </w:t>
      </w:r>
      <w:r w:rsidRPr="005B5C4A">
        <w:rPr>
          <w:sz w:val="18"/>
          <w:szCs w:val="18"/>
          <w:lang w:val="en-US"/>
        </w:rPr>
        <w:t>y</w:t>
      </w:r>
      <w:r w:rsidRPr="005B5C4A">
        <w:rPr>
          <w:sz w:val="18"/>
          <w:szCs w:val="18"/>
        </w:rPr>
        <w:t xml:space="preserve"> = 0,9518</w:t>
      </w:r>
      <w:r w:rsidRPr="005B5C4A">
        <w:rPr>
          <w:sz w:val="18"/>
          <w:szCs w:val="18"/>
          <w:lang w:val="en-US"/>
        </w:rPr>
        <w:t>e</w:t>
      </w:r>
      <w:r w:rsidRPr="005B5C4A">
        <w:rPr>
          <w:sz w:val="18"/>
          <w:szCs w:val="18"/>
          <w:vertAlign w:val="superscript"/>
        </w:rPr>
        <w:t>-0,0050</w:t>
      </w:r>
      <w:r w:rsidRPr="005B5C4A">
        <w:rPr>
          <w:sz w:val="18"/>
          <w:szCs w:val="18"/>
          <w:vertAlign w:val="superscript"/>
          <w:lang w:val="en-US"/>
        </w:rPr>
        <w:t>x</w:t>
      </w:r>
      <w:r w:rsidRPr="005B5C4A">
        <w:rPr>
          <w:sz w:val="18"/>
          <w:szCs w:val="18"/>
        </w:rPr>
        <w:t xml:space="preserve">, </w:t>
      </w:r>
      <w:r w:rsidRPr="005B5C4A">
        <w:rPr>
          <w:sz w:val="18"/>
          <w:szCs w:val="18"/>
          <w:lang w:val="en-US"/>
        </w:rPr>
        <w:t>R</w:t>
      </w:r>
      <w:r w:rsidRPr="005B5C4A">
        <w:rPr>
          <w:sz w:val="18"/>
          <w:szCs w:val="18"/>
        </w:rPr>
        <w:t xml:space="preserve">² = 0,8942, </w:t>
      </w:r>
      <w:r w:rsidRPr="005B5C4A">
        <w:rPr>
          <w:sz w:val="18"/>
          <w:szCs w:val="18"/>
          <w:lang w:val="en-US"/>
        </w:rPr>
        <w:t>y</w:t>
      </w:r>
      <w:r w:rsidRPr="005B5C4A">
        <w:rPr>
          <w:sz w:val="18"/>
          <w:szCs w:val="18"/>
        </w:rPr>
        <w:t xml:space="preserve"> = 0,0002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  <w:vertAlign w:val="superscript"/>
        </w:rPr>
        <w:t>2</w:t>
      </w:r>
      <w:r w:rsidRPr="005B5C4A">
        <w:rPr>
          <w:sz w:val="18"/>
          <w:szCs w:val="18"/>
        </w:rPr>
        <w:t xml:space="preserve"> - 0,0094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</w:rPr>
        <w:t xml:space="preserve"> + 0,9700, </w:t>
      </w:r>
      <w:r w:rsidRPr="005B5C4A">
        <w:rPr>
          <w:sz w:val="18"/>
          <w:szCs w:val="18"/>
          <w:lang w:val="en-US"/>
        </w:rPr>
        <w:t>R</w:t>
      </w:r>
      <w:r w:rsidRPr="005B5C4A">
        <w:rPr>
          <w:sz w:val="18"/>
          <w:szCs w:val="18"/>
        </w:rPr>
        <w:t xml:space="preserve">² = 0,9461, </w:t>
      </w:r>
      <w:r w:rsidRPr="005B5C4A">
        <w:rPr>
          <w:sz w:val="18"/>
          <w:szCs w:val="18"/>
          <w:lang w:val="en-US"/>
        </w:rPr>
        <w:t>y</w:t>
      </w:r>
      <w:r w:rsidRPr="005B5C4A">
        <w:rPr>
          <w:sz w:val="18"/>
          <w:szCs w:val="18"/>
        </w:rPr>
        <w:t xml:space="preserve"> = 0,9811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  <w:vertAlign w:val="superscript"/>
        </w:rPr>
        <w:t>-0,0400</w:t>
      </w:r>
      <w:r w:rsidRPr="005B5C4A">
        <w:rPr>
          <w:sz w:val="18"/>
          <w:szCs w:val="18"/>
        </w:rPr>
        <w:t xml:space="preserve">, </w:t>
      </w:r>
      <w:r w:rsidRPr="005B5C4A">
        <w:rPr>
          <w:sz w:val="18"/>
          <w:szCs w:val="18"/>
          <w:lang w:val="en-US"/>
        </w:rPr>
        <w:t>R</w:t>
      </w:r>
      <w:r w:rsidRPr="005B5C4A">
        <w:rPr>
          <w:sz w:val="18"/>
          <w:szCs w:val="18"/>
        </w:rPr>
        <w:t>² = 0,9613,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sz w:val="18"/>
          <w:szCs w:val="18"/>
          <w:lang w:val="en-US"/>
        </w:rPr>
        <w:t>y</w:t>
      </w:r>
      <w:r w:rsidRPr="005B5C4A">
        <w:rPr>
          <w:sz w:val="18"/>
          <w:szCs w:val="18"/>
        </w:rPr>
        <w:t xml:space="preserve"> = -0,036</w:t>
      </w:r>
      <w:r w:rsidRPr="005B5C4A">
        <w:rPr>
          <w:sz w:val="18"/>
          <w:szCs w:val="18"/>
          <w:lang w:val="en-US"/>
        </w:rPr>
        <w:t>ln</w:t>
      </w:r>
      <w:r w:rsidRPr="005B5C4A">
        <w:rPr>
          <w:sz w:val="18"/>
          <w:szCs w:val="18"/>
        </w:rPr>
        <w:t>(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</w:rPr>
        <w:t xml:space="preserve">) + 0,9793, </w:t>
      </w:r>
      <w:r w:rsidRPr="005B5C4A">
        <w:rPr>
          <w:sz w:val="18"/>
          <w:szCs w:val="18"/>
          <w:lang w:val="en-US"/>
        </w:rPr>
        <w:t>R</w:t>
      </w:r>
      <w:r w:rsidRPr="005B5C4A">
        <w:rPr>
          <w:sz w:val="18"/>
          <w:szCs w:val="18"/>
        </w:rPr>
        <w:t>² = 0,9652,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</w:t>
      </w:r>
      <w:r w:rsidRPr="005B5C4A">
        <w:rPr>
          <w:sz w:val="18"/>
          <w:szCs w:val="18"/>
          <w:lang w:val="en-US"/>
        </w:rPr>
        <w:t>y</w:t>
      </w:r>
      <w:r w:rsidRPr="005B5C4A">
        <w:rPr>
          <w:sz w:val="18"/>
          <w:szCs w:val="18"/>
        </w:rPr>
        <w:t xml:space="preserve"> = -3</w:t>
      </w:r>
      <w:r w:rsidRPr="005B5C4A">
        <w:rPr>
          <w:sz w:val="18"/>
          <w:szCs w:val="18"/>
          <w:lang w:val="en-US"/>
        </w:rPr>
        <w:t>E</w:t>
      </w:r>
      <w:r w:rsidRPr="005B5C4A">
        <w:rPr>
          <w:sz w:val="18"/>
          <w:szCs w:val="18"/>
        </w:rPr>
        <w:t>-05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  <w:vertAlign w:val="superscript"/>
        </w:rPr>
        <w:t>3</w:t>
      </w:r>
      <w:r w:rsidRPr="005B5C4A">
        <w:rPr>
          <w:sz w:val="18"/>
          <w:szCs w:val="18"/>
        </w:rPr>
        <w:t xml:space="preserve"> + 0,0013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  <w:vertAlign w:val="superscript"/>
        </w:rPr>
        <w:t>2</w:t>
      </w:r>
      <w:r w:rsidRPr="005B5C4A">
        <w:rPr>
          <w:sz w:val="18"/>
          <w:szCs w:val="18"/>
        </w:rPr>
        <w:t xml:space="preserve"> - 0,0191</w:t>
      </w:r>
      <w:r w:rsidRPr="005B5C4A">
        <w:rPr>
          <w:sz w:val="18"/>
          <w:szCs w:val="18"/>
          <w:lang w:val="en-US"/>
        </w:rPr>
        <w:t>x</w:t>
      </w:r>
      <w:r w:rsidRPr="005B5C4A">
        <w:rPr>
          <w:sz w:val="18"/>
          <w:szCs w:val="18"/>
        </w:rPr>
        <w:t xml:space="preserve"> + 0,9897, </w:t>
      </w:r>
      <w:r w:rsidRPr="005B5C4A">
        <w:rPr>
          <w:sz w:val="18"/>
          <w:szCs w:val="18"/>
          <w:lang w:val="en-US"/>
        </w:rPr>
        <w:t>R</w:t>
      </w:r>
      <w:r w:rsidRPr="005B5C4A">
        <w:rPr>
          <w:sz w:val="18"/>
          <w:szCs w:val="18"/>
        </w:rPr>
        <w:t>² = 0,9821</w:t>
      </w:r>
      <w:r w:rsidRPr="005B5C4A">
        <w:rPr>
          <w:rFonts w:ascii="Times New Roman" w:hAnsi="Times New Roman" w:cs="Times New Roman"/>
          <w:sz w:val="18"/>
          <w:szCs w:val="18"/>
        </w:rPr>
        <w:t xml:space="preserve"> и описываются полиномом второй степени, степенным, логарифмическим уравнениями и ролиномом третьей степени. В этом случае также относительная скорость богатства словарей была выше относительной экспоненциальной скорости в 8 раз.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noProof/>
          <w:sz w:val="18"/>
          <w:szCs w:val="18"/>
          <w:lang w:eastAsia="ru-RU"/>
        </w:rPr>
        <w:lastRenderedPageBreak/>
        <w:drawing>
          <wp:inline distT="0" distB="0" distL="0" distR="0">
            <wp:extent cx="5572125" cy="1619250"/>
            <wp:effectExtent l="19050" t="0" r="9525" b="0"/>
            <wp:docPr id="20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sz w:val="18"/>
          <w:szCs w:val="18"/>
        </w:rPr>
        <w:t xml:space="preserve">Рис. 15. Зависимость уточненного богатства словарей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>евангелий и посланий апостолов, начиная с наибольшей величины, от их последовательности.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940425" cy="1485900"/>
            <wp:effectExtent l="19050" t="0" r="22225" b="0"/>
            <wp:docPr id="21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sz w:val="18"/>
          <w:szCs w:val="18"/>
        </w:rPr>
        <w:t xml:space="preserve">Рис. 16. Зависимость уточненного кумулятивного богатства словарей </w:t>
      </w:r>
      <w:r w:rsidRPr="005B5C4A">
        <w:rPr>
          <w:rFonts w:ascii="Times New Roman" w:hAnsi="Times New Roman" w:cs="Times New Roman"/>
          <w:i/>
          <w:sz w:val="18"/>
          <w:szCs w:val="18"/>
        </w:rPr>
        <w:t>К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lang w:val="en-US" w:eastAsia="ru-RU"/>
        </w:rPr>
        <w:t>ln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>евангелий и посланий апостолов, начиная с наибольшей величины, от их последовательности</w:t>
      </w: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sz w:val="18"/>
          <w:szCs w:val="18"/>
        </w:rPr>
        <w:t xml:space="preserve">Моделирование уточненного богатства словарей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 xml:space="preserve">евангелий и посланий апостолов, начиная с наибольшей величины, к кумулятивному виду и натуральному логарифмированию от их последовательности </w:t>
      </w:r>
      <w:r w:rsidRPr="005B5C4A">
        <w:rPr>
          <w:rFonts w:ascii="Times New Roman" w:hAnsi="Times New Roman" w:cs="Times New Roman"/>
          <w:bCs/>
          <w:i/>
          <w:sz w:val="18"/>
          <w:szCs w:val="18"/>
          <w:lang w:val="en-US"/>
        </w:rPr>
        <w:t>Kln</w:t>
      </w:r>
      <w:r w:rsidRPr="005B5C4A">
        <w:rPr>
          <w:rFonts w:ascii="Times New Roman" w:hAnsi="Times New Roman" w:cs="Times New Roman"/>
          <w:bCs/>
          <w:i/>
          <w:sz w:val="18"/>
          <w:szCs w:val="18"/>
          <w:u w:val="single"/>
        </w:rPr>
        <w:t>1-</w:t>
      </w:r>
      <w:r w:rsidRPr="005B5C4A">
        <w:rPr>
          <w:rFonts w:ascii="Times New Roman" w:hAnsi="Times New Roman" w:cs="Times New Roman"/>
          <w:bCs/>
          <w:i/>
          <w:sz w:val="18"/>
          <w:szCs w:val="18"/>
          <w:u w:val="single"/>
          <w:lang w:val="en-US"/>
        </w:rPr>
        <w:t>F</w:t>
      </w:r>
      <w:r w:rsidRPr="005B5C4A">
        <w:rPr>
          <w:rFonts w:ascii="Times New Roman" w:hAnsi="Times New Roman" w:cs="Times New Roman"/>
          <w:bCs/>
          <w:i/>
          <w:sz w:val="18"/>
          <w:szCs w:val="18"/>
          <w:u w:val="single"/>
        </w:rPr>
        <w:t>(</w:t>
      </w:r>
      <w:r w:rsidRPr="005B5C4A">
        <w:rPr>
          <w:rFonts w:ascii="Times New Roman" w:hAnsi="Times New Roman" w:cs="Times New Roman"/>
          <w:bCs/>
          <w:i/>
          <w:sz w:val="18"/>
          <w:szCs w:val="18"/>
          <w:u w:val="single"/>
          <w:lang w:val="en-US"/>
        </w:rPr>
        <w:t>h</w:t>
      </w:r>
      <w:r w:rsidRPr="005B5C4A">
        <w:rPr>
          <w:rFonts w:ascii="Times New Roman" w:hAnsi="Times New Roman" w:cs="Times New Roman"/>
          <w:bCs/>
          <w:i/>
          <w:sz w:val="18"/>
          <w:szCs w:val="18"/>
          <w:u w:val="single"/>
        </w:rPr>
        <w:t>)</w:t>
      </w:r>
      <w:r w:rsidRPr="005B5C4A">
        <w:rPr>
          <w:rFonts w:ascii="Times New Roman" w:hAnsi="Times New Roman" w:cs="Times New Roman"/>
          <w:sz w:val="18"/>
          <w:szCs w:val="18"/>
        </w:rPr>
        <w:t xml:space="preserve"> показало, что они представлены  следующими   уравнениями  (рис. 16):</w:t>
      </w:r>
      <w:r w:rsidRPr="005B5C4A">
        <w:rPr>
          <w:rFonts w:ascii="Times New Roman" w:eastAsia="Times New Roman" w:hAnsi="Times New Roman" w:cs="Times New Roman"/>
          <w:color w:val="000000"/>
          <w:kern w:val="24"/>
          <w:sz w:val="18"/>
          <w:szCs w:val="18"/>
          <w:lang w:eastAsia="ru-RU"/>
        </w:rPr>
        <w:t xml:space="preserve">  </w:t>
      </w:r>
      <w:r w:rsidRPr="005B5C4A">
        <w:rPr>
          <w:rFonts w:ascii="Times New Roman" w:hAnsi="Times New Roman" w:cs="Times New Roman"/>
          <w:sz w:val="18"/>
          <w:szCs w:val="18"/>
        </w:rPr>
        <w:t>y = 2,6104e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0,0981x</w:t>
      </w:r>
      <w:r w:rsidRPr="005B5C4A">
        <w:rPr>
          <w:rFonts w:ascii="Times New Roman" w:hAnsi="Times New Roman" w:cs="Times New Roman"/>
          <w:sz w:val="18"/>
          <w:szCs w:val="18"/>
        </w:rPr>
        <w:t xml:space="preserve">, R² = 0,8502, y = 7,5881ln(x) - 5,4887, R² = 0,8632, y = 0,8946x + 0,3135, R² = 0,9998,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sz w:val="18"/>
          <w:szCs w:val="18"/>
        </w:rPr>
        <w:t xml:space="preserve"> =  -0,0018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sz w:val="18"/>
          <w:szCs w:val="18"/>
        </w:rPr>
        <w:t xml:space="preserve"> +  0,9425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</w:rPr>
        <w:t xml:space="preserve"> +  0,0899,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sz w:val="18"/>
          <w:szCs w:val="18"/>
        </w:rPr>
        <w:t xml:space="preserve">² = 1,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sz w:val="18"/>
          <w:szCs w:val="18"/>
        </w:rPr>
        <w:t xml:space="preserve"> = 5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E</w:t>
      </w:r>
      <w:r w:rsidRPr="005B5C4A">
        <w:rPr>
          <w:rFonts w:ascii="Times New Roman" w:hAnsi="Times New Roman" w:cs="Times New Roman"/>
          <w:sz w:val="18"/>
          <w:szCs w:val="18"/>
        </w:rPr>
        <w:t>-05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5B5C4A">
        <w:rPr>
          <w:rFonts w:ascii="Times New Roman" w:hAnsi="Times New Roman" w:cs="Times New Roman"/>
          <w:sz w:val="18"/>
          <w:szCs w:val="18"/>
        </w:rPr>
        <w:t xml:space="preserve"> - 0,0037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5B5C4A">
        <w:rPr>
          <w:rFonts w:ascii="Times New Roman" w:hAnsi="Times New Roman" w:cs="Times New Roman"/>
          <w:sz w:val="18"/>
          <w:szCs w:val="18"/>
        </w:rPr>
        <w:t xml:space="preserve"> + 0,9634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</w:rPr>
        <w:t xml:space="preserve"> + 0,0384,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sz w:val="18"/>
          <w:szCs w:val="18"/>
        </w:rPr>
        <w:t xml:space="preserve">² = 1,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y</w:t>
      </w:r>
      <w:r w:rsidRPr="005B5C4A">
        <w:rPr>
          <w:rFonts w:ascii="Times New Roman" w:hAnsi="Times New Roman" w:cs="Times New Roman"/>
          <w:sz w:val="18"/>
          <w:szCs w:val="18"/>
        </w:rPr>
        <w:t xml:space="preserve"> = 0,9957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x</w:t>
      </w:r>
      <w:r w:rsidRPr="005B5C4A">
        <w:rPr>
          <w:rFonts w:ascii="Times New Roman" w:hAnsi="Times New Roman" w:cs="Times New Roman"/>
          <w:sz w:val="18"/>
          <w:szCs w:val="18"/>
          <w:vertAlign w:val="superscript"/>
        </w:rPr>
        <w:t>0,9710</w:t>
      </w:r>
      <w:r w:rsidRPr="005B5C4A">
        <w:rPr>
          <w:rFonts w:ascii="Times New Roman" w:hAnsi="Times New Roman" w:cs="Times New Roman"/>
          <w:sz w:val="18"/>
          <w:szCs w:val="18"/>
        </w:rPr>
        <w:t xml:space="preserve">,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R</w:t>
      </w:r>
      <w:r w:rsidRPr="005B5C4A">
        <w:rPr>
          <w:rFonts w:ascii="Times New Roman" w:hAnsi="Times New Roman" w:cs="Times New Roman"/>
          <w:sz w:val="18"/>
          <w:szCs w:val="18"/>
        </w:rPr>
        <w:t>² = 1 и описываются полиномом второй степени, степенным, логарифмическим уравнениями и полиномом третьей степени. В этом случае также относительная скорость богатства словарей была выше относительной экспоненциальной ее скорости в 9,9 раза.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bCs/>
          <w:iCs/>
          <w:sz w:val="18"/>
          <w:szCs w:val="18"/>
        </w:rPr>
        <w:t xml:space="preserve">Однако приведение </w:t>
      </w:r>
      <w:r w:rsidRPr="005B5C4A">
        <w:rPr>
          <w:rFonts w:ascii="Times New Roman" w:hAnsi="Times New Roman" w:cs="Times New Roman"/>
          <w:sz w:val="18"/>
          <w:szCs w:val="18"/>
        </w:rPr>
        <w:t xml:space="preserve">уточненного богатства словарей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 xml:space="preserve">евангелий и посланий апостолов, начиная с наибольшей величины, к кумулятивному виду и натуральному логарифмированию от их последовательности выявляют также  три неравномерные зоны распределения этих текстов (рис. 18): </w:t>
      </w:r>
    </w:p>
    <w:p w:rsidR="008D07B9" w:rsidRPr="005B5C4A" w:rsidRDefault="008D07B9" w:rsidP="008D07B9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hAnsi="Times New Roman" w:cs="Times New Roman"/>
          <w:sz w:val="18"/>
          <w:szCs w:val="18"/>
          <w:lang w:val="en-US"/>
        </w:rPr>
        <w:t>I</w:t>
      </w:r>
      <w:r w:rsidRPr="005B5C4A">
        <w:rPr>
          <w:rFonts w:ascii="Times New Roman" w:hAnsi="Times New Roman" w:cs="Times New Roman"/>
          <w:sz w:val="18"/>
          <w:szCs w:val="18"/>
        </w:rPr>
        <w:t xml:space="preserve"> – я зона: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Евангелие от Иоанна,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Третье 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Иоанна от 0,9777 до 2,9018</w:t>
      </w:r>
      <w:r w:rsidRPr="005B5C4A">
        <w:rPr>
          <w:rFonts w:ascii="Times New Roman" w:hAnsi="Times New Roman" w:cs="Times New Roman"/>
          <w:sz w:val="18"/>
          <w:szCs w:val="18"/>
        </w:rPr>
        <w:t xml:space="preserve">; </w:t>
      </w:r>
    </w:p>
    <w:p w:rsidR="008D07B9" w:rsidRPr="005B5C4A" w:rsidRDefault="008D07B9" w:rsidP="008D07B9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hAnsi="Times New Roman" w:cs="Times New Roman"/>
          <w:sz w:val="18"/>
          <w:szCs w:val="18"/>
          <w:lang w:val="en-US"/>
        </w:rPr>
        <w:t>II</w:t>
      </w:r>
      <w:r w:rsidRPr="005B5C4A">
        <w:rPr>
          <w:rFonts w:ascii="Times New Roman" w:hAnsi="Times New Roman" w:cs="Times New Roman"/>
          <w:sz w:val="18"/>
          <w:szCs w:val="18"/>
        </w:rPr>
        <w:t xml:space="preserve"> – я зона: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Иуды,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Филимону, Первое послание к Фессалоникейцам,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Послание Иакова,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Евангелие от Матфея, Послание к Римлянам,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Первое послание Петра,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Галатам, Послание к Евреям, Второе  послание к Тимофею,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Иоанна,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Послание к Филиппийцам, Послание к Титу, Второе  послание к Фессалоникейцам, Послание к Ефесянам,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Второе  послание Петра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 от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3,8431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до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17,3522;</w:t>
      </w:r>
    </w:p>
    <w:p w:rsidR="008D07B9" w:rsidRPr="005B5C4A" w:rsidRDefault="008D07B9" w:rsidP="008D07B9">
      <w:pPr>
        <w:pStyle w:val="a3"/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</w:pPr>
      <w:r w:rsidRPr="005B5C4A">
        <w:rPr>
          <w:rFonts w:ascii="Times New Roman" w:hAnsi="Times New Roman" w:cs="Times New Roman"/>
          <w:sz w:val="18"/>
          <w:szCs w:val="18"/>
          <w:lang w:val="en-US"/>
        </w:rPr>
        <w:t>III</w:t>
      </w:r>
      <w:r w:rsidRPr="005B5C4A">
        <w:rPr>
          <w:rFonts w:ascii="Times New Roman" w:hAnsi="Times New Roman" w:cs="Times New Roman"/>
          <w:sz w:val="18"/>
          <w:szCs w:val="18"/>
        </w:rPr>
        <w:t xml:space="preserve"> – я зона: </w:t>
      </w:r>
      <w:r w:rsidRPr="005B5C4A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 xml:space="preserve">Послание к Колоссянам, Евангелие от Луки, Первое послание к Тимофею, Деяния святых Апостолов, Евангелие от Марка, Второе  послание к Коринфянам и Первое послание к Коринфянам от </w:t>
      </w:r>
      <w:r w:rsidRPr="005B5C4A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18,2250 до 23,4152.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5529580" cy="1062037"/>
            <wp:effectExtent l="19050" t="0" r="13970" b="4763"/>
            <wp:docPr id="22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  <w:r w:rsidRPr="005B5C4A">
        <w:rPr>
          <w:rFonts w:ascii="Times New Roman" w:hAnsi="Times New Roman" w:cs="Times New Roman"/>
          <w:sz w:val="18"/>
          <w:szCs w:val="18"/>
        </w:rPr>
        <w:t xml:space="preserve">Рис. 17. Зависимость уточненного кумулятивного богатства словарей </w:t>
      </w:r>
      <w:r w:rsidRPr="005B5C4A">
        <w:rPr>
          <w:rFonts w:ascii="Times New Roman" w:eastAsia="Times New Roman" w:hAnsi="Times New Roman" w:cs="Times New Roman"/>
          <w:i/>
          <w:color w:val="000000"/>
          <w:sz w:val="18"/>
          <w:szCs w:val="18"/>
          <w:u w:val="single"/>
          <w:lang w:eastAsia="ru-RU"/>
        </w:rPr>
        <w:t>1-F(h)</w:t>
      </w:r>
      <w:r w:rsidRPr="005B5C4A">
        <w:rPr>
          <w:rFonts w:ascii="Times New Roman" w:eastAsia="Times New Roman" w:hAnsi="Times New Roman" w:cs="Times New Roman"/>
          <w:b/>
          <w:color w:val="000000"/>
          <w:sz w:val="18"/>
          <w:szCs w:val="18"/>
          <w:lang w:eastAsia="ru-RU"/>
        </w:rPr>
        <w:t xml:space="preserve"> </w:t>
      </w:r>
      <w:r w:rsidRPr="005B5C4A">
        <w:rPr>
          <w:rFonts w:ascii="Times New Roman" w:hAnsi="Times New Roman" w:cs="Times New Roman"/>
          <w:sz w:val="18"/>
          <w:szCs w:val="18"/>
        </w:rPr>
        <w:t xml:space="preserve">евангелий и посланий апостолов, начиная с наибольшей величины, от их последовательности. 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  <w:r w:rsidRPr="005B5C4A">
        <w:rPr>
          <w:rFonts w:ascii="Times New Roman" w:hAnsi="Times New Roman" w:cs="Times New Roman"/>
          <w:sz w:val="18"/>
          <w:szCs w:val="18"/>
        </w:rPr>
        <w:t>Таким образом, были исследованы</w:t>
      </w:r>
      <w:r w:rsidRPr="005B5C4A">
        <w:rPr>
          <w:rStyle w:val="ab"/>
          <w:rFonts w:ascii="Times New Roman" w:hAnsi="Times New Roman" w:cs="Times New Roman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-точка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в евангелиях и посланиях апостолов в Новом завете. Показаны количественные сходство и различие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,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dishapax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legomena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 xml:space="preserve"> и 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  <w:lang w:val="en-US"/>
        </w:rPr>
        <w:t>h</w:t>
      </w:r>
      <w:r w:rsidRPr="005B5C4A">
        <w:rPr>
          <w:rStyle w:val="ab"/>
          <w:rFonts w:ascii="Times New Roman" w:hAnsi="Times New Roman" w:cs="Times New Roman"/>
          <w:b w:val="0"/>
          <w:color w:val="auto"/>
          <w:sz w:val="18"/>
          <w:szCs w:val="18"/>
        </w:rPr>
        <w:t xml:space="preserve">-точки </w:t>
      </w:r>
      <w:r w:rsidRPr="005B5C4A"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  <w:t>исследованных текстов. Проведено моделирование евангелий и текстов посланий Апостолов, позволяющие выявить близкие тексты.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Style w:val="ab"/>
          <w:rFonts w:ascii="Times New Roman" w:hAnsi="Times New Roman" w:cs="Times New Roman"/>
          <w:b w:val="0"/>
          <w:i w:val="0"/>
          <w:color w:val="auto"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C4A">
        <w:rPr>
          <w:rFonts w:ascii="Times New Roman" w:hAnsi="Times New Roman" w:cs="Times New Roman"/>
          <w:color w:val="000000"/>
          <w:sz w:val="18"/>
          <w:szCs w:val="18"/>
        </w:rPr>
        <w:t xml:space="preserve">Литература </w:t>
      </w:r>
    </w:p>
    <w:p w:rsidR="008D07B9" w:rsidRPr="005B5C4A" w:rsidRDefault="008D07B9" w:rsidP="008D07B9">
      <w:pPr>
        <w:spacing w:after="0" w:line="240" w:lineRule="auto"/>
        <w:ind w:firstLine="360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p w:rsidR="008D07B9" w:rsidRPr="005B5C4A" w:rsidRDefault="008D07B9" w:rsidP="008D0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B5C4A">
        <w:rPr>
          <w:rFonts w:ascii="Times New Roman" w:hAnsi="Times New Roman" w:cs="Times New Roman"/>
          <w:color w:val="000000"/>
          <w:sz w:val="18"/>
          <w:szCs w:val="18"/>
        </w:rPr>
        <w:t>1. Библия //http://bible.ucoz.com/load</w:t>
      </w:r>
    </w:p>
    <w:p w:rsidR="008D07B9" w:rsidRPr="005B5C4A" w:rsidRDefault="008D07B9" w:rsidP="008D07B9">
      <w:pPr>
        <w:pStyle w:val="a3"/>
        <w:tabs>
          <w:tab w:val="left" w:pos="9214"/>
        </w:tabs>
        <w:spacing w:after="0" w:line="240" w:lineRule="auto"/>
        <w:ind w:left="0"/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</w:pPr>
      <w:r w:rsidRPr="005B5C4A">
        <w:rPr>
          <w:rFonts w:ascii="Times New Roman" w:hAnsi="Times New Roman" w:cs="Times New Roman"/>
          <w:color w:val="000000"/>
          <w:sz w:val="18"/>
          <w:szCs w:val="18"/>
          <w:lang w:val="en-US"/>
        </w:rPr>
        <w:t xml:space="preserve">2. </w:t>
      </w:r>
      <w:r w:rsidRPr="005B5C4A">
        <w:rPr>
          <w:rFonts w:ascii="Times New Roman" w:hAnsi="Times New Roman"/>
          <w:sz w:val="18"/>
          <w:szCs w:val="18"/>
          <w:lang w:val="en-US"/>
        </w:rPr>
        <w:t xml:space="preserve">Anthony L. (2005) </w:t>
      </w:r>
      <w:r w:rsidRPr="005B5C4A">
        <w:rPr>
          <w:rFonts w:ascii="Times New Roman" w:hAnsi="Times New Roman"/>
          <w:i/>
          <w:sz w:val="18"/>
          <w:szCs w:val="18"/>
          <w:lang w:val="en-US"/>
        </w:rPr>
        <w:t>AntConc:</w:t>
      </w:r>
      <w:r w:rsidRPr="005B5C4A">
        <w:rPr>
          <w:rFonts w:ascii="Times New Roman" w:hAnsi="Times New Roman"/>
          <w:sz w:val="18"/>
          <w:szCs w:val="18"/>
          <w:lang w:val="en-US"/>
        </w:rPr>
        <w:t xml:space="preserve"> Design and Development of Freeware Corpus Analysis Toolkit for the Technical Writing Classroom. // IEEE International Professional Conference Proceedings, pp .729-737. (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 xml:space="preserve">Anthony L., Ph.D. Professor. Center for English Language Education in Science and Engineering (CELESE). Faculty of Science and Engineering. Waseda University. 3-4-1 Okubo, Shinjuku-ku, Tokyo 169-8555, Japan. E-mail: </w:t>
      </w:r>
      <w:r w:rsidRPr="005B5C4A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 xml:space="preserve">anthony0122@gmail.com </w:t>
      </w:r>
      <w:hyperlink r:id="rId24" w:history="1">
        <w:r w:rsidRPr="005B5C4A">
          <w:rPr>
            <w:rStyle w:val="ae"/>
            <w:rFonts w:ascii="Times New Roman" w:hAnsi="Times New Roman" w:cs="Times New Roman"/>
            <w:sz w:val="18"/>
            <w:szCs w:val="18"/>
            <w:lang w:val="en-US"/>
          </w:rPr>
          <w:t>mailto:anthony0122@gmail.com</w:t>
        </w:r>
      </w:hyperlink>
      <w:r w:rsidRPr="005B5C4A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 xml:space="preserve"> </w:t>
      </w:r>
      <w:hyperlink r:id="rId25" w:history="1">
        <w:r w:rsidRPr="005B5C4A">
          <w:rPr>
            <w:rStyle w:val="ae"/>
            <w:rFonts w:ascii="Times New Roman" w:hAnsi="Times New Roman" w:cs="Times New Roman"/>
            <w:sz w:val="18"/>
            <w:szCs w:val="18"/>
            <w:lang w:val="en-US"/>
          </w:rPr>
          <w:t>http://www.antlab.sci.waseda.ac.jp/</w:t>
        </w:r>
      </w:hyperlink>
      <w:r w:rsidRPr="005B5C4A"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  <w:t>).</w:t>
      </w:r>
    </w:p>
    <w:p w:rsidR="008D07B9" w:rsidRPr="005B5C4A" w:rsidRDefault="008D07B9" w:rsidP="008D07B9">
      <w:pPr>
        <w:pStyle w:val="a3"/>
        <w:tabs>
          <w:tab w:val="left" w:pos="9214"/>
        </w:tabs>
        <w:spacing w:after="0" w:line="240" w:lineRule="auto"/>
        <w:ind w:left="0"/>
        <w:rPr>
          <w:rFonts w:ascii="Times New Roman" w:hAnsi="Times New Roman" w:cs="Times New Roman"/>
          <w:color w:val="0000FF"/>
          <w:sz w:val="18"/>
          <w:szCs w:val="18"/>
          <w:u w:val="single"/>
          <w:lang w:val="en-US"/>
        </w:rPr>
      </w:pPr>
      <w:r w:rsidRPr="005B5C4A">
        <w:rPr>
          <w:rFonts w:ascii="Times New Roman" w:hAnsi="Times New Roman" w:cs="Times New Roman"/>
          <w:sz w:val="18"/>
          <w:szCs w:val="18"/>
          <w:u w:val="single"/>
          <w:lang w:val="en-US"/>
        </w:rPr>
        <w:t xml:space="preserve">3. </w:t>
      </w:r>
      <w:r w:rsidRPr="005B5C4A">
        <w:rPr>
          <w:rFonts w:ascii="Times New Roman" w:hAnsi="Times New Roman" w:cs="Times New Roman"/>
          <w:sz w:val="18"/>
          <w:szCs w:val="18"/>
          <w:lang w:val="en-US"/>
        </w:rPr>
        <w:t>Popescu I.I., Altmann G. Some aspects of word frequencies.// Glottometrics. 2006. № 13. PP. 23-46.</w:t>
      </w:r>
    </w:p>
    <w:p w:rsidR="008D07B9" w:rsidRPr="005B5C4A" w:rsidRDefault="008D07B9" w:rsidP="008D07B9">
      <w:pPr>
        <w:pStyle w:val="a3"/>
        <w:tabs>
          <w:tab w:val="left" w:pos="9214"/>
        </w:tabs>
        <w:spacing w:after="0" w:line="240" w:lineRule="auto"/>
        <w:ind w:left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8D07B9" w:rsidRPr="005B5C4A" w:rsidRDefault="008D07B9" w:rsidP="008D07B9">
      <w:pPr>
        <w:spacing w:after="0" w:line="240" w:lineRule="auto"/>
        <w:rPr>
          <w:sz w:val="18"/>
          <w:szCs w:val="18"/>
          <w:lang w:val="en-US"/>
        </w:rPr>
      </w:pPr>
    </w:p>
    <w:p w:rsidR="008D07B9" w:rsidRPr="005B5C4A" w:rsidRDefault="008D07B9" w:rsidP="008D07B9">
      <w:pPr>
        <w:rPr>
          <w:sz w:val="18"/>
          <w:szCs w:val="18"/>
        </w:rPr>
      </w:pPr>
    </w:p>
    <w:p w:rsidR="00F36BA7" w:rsidRPr="005B5C4A" w:rsidRDefault="00D25CDD">
      <w:pPr>
        <w:rPr>
          <w:sz w:val="18"/>
          <w:szCs w:val="18"/>
        </w:rPr>
      </w:pPr>
    </w:p>
    <w:sectPr w:rsidR="00F36BA7" w:rsidRPr="005B5C4A" w:rsidSect="00554A21">
      <w:footerReference w:type="default" r:id="rId26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5CDD" w:rsidRDefault="00D25CDD" w:rsidP="00E77076">
      <w:pPr>
        <w:spacing w:after="0" w:line="240" w:lineRule="auto"/>
      </w:pPr>
      <w:r>
        <w:separator/>
      </w:r>
    </w:p>
  </w:endnote>
  <w:endnote w:type="continuationSeparator" w:id="1">
    <w:p w:rsidR="00D25CDD" w:rsidRDefault="00D25CDD" w:rsidP="00E770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84251"/>
      <w:docPartObj>
        <w:docPartGallery w:val="Page Numbers (Bottom of Page)"/>
        <w:docPartUnique/>
      </w:docPartObj>
    </w:sdtPr>
    <w:sdtContent>
      <w:p w:rsidR="00E26192" w:rsidRDefault="00E77076">
        <w:pPr>
          <w:pStyle w:val="a6"/>
          <w:jc w:val="right"/>
        </w:pPr>
        <w:r>
          <w:fldChar w:fldCharType="begin"/>
        </w:r>
        <w:r w:rsidR="008D07B9">
          <w:instrText xml:space="preserve"> PAGE   \* MERGEFORMAT </w:instrText>
        </w:r>
        <w:r>
          <w:fldChar w:fldCharType="separate"/>
        </w:r>
        <w:r w:rsidR="00055A4B">
          <w:rPr>
            <w:noProof/>
          </w:rPr>
          <w:t>15</w:t>
        </w:r>
        <w:r>
          <w:fldChar w:fldCharType="end"/>
        </w:r>
      </w:p>
    </w:sdtContent>
  </w:sdt>
  <w:p w:rsidR="00E26192" w:rsidRDefault="00D25CD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5CDD" w:rsidRDefault="00D25CDD" w:rsidP="00E77076">
      <w:pPr>
        <w:spacing w:after="0" w:line="240" w:lineRule="auto"/>
      </w:pPr>
      <w:r>
        <w:separator/>
      </w:r>
    </w:p>
  </w:footnote>
  <w:footnote w:type="continuationSeparator" w:id="1">
    <w:p w:rsidR="00D25CDD" w:rsidRDefault="00D25CDD" w:rsidP="00E770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515B"/>
    <w:multiLevelType w:val="hybridMultilevel"/>
    <w:tmpl w:val="A8FA0F0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F84729D"/>
    <w:multiLevelType w:val="hybridMultilevel"/>
    <w:tmpl w:val="5FA48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1D765F48"/>
    <w:multiLevelType w:val="hybridMultilevel"/>
    <w:tmpl w:val="3C1A242A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3">
    <w:nsid w:val="25530D52"/>
    <w:multiLevelType w:val="hybridMultilevel"/>
    <w:tmpl w:val="43C2D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B5434E"/>
    <w:multiLevelType w:val="hybridMultilevel"/>
    <w:tmpl w:val="8C02B7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34A6568"/>
    <w:multiLevelType w:val="hybridMultilevel"/>
    <w:tmpl w:val="DD7A28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7DF233A"/>
    <w:multiLevelType w:val="hybridMultilevel"/>
    <w:tmpl w:val="219809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81255F5"/>
    <w:multiLevelType w:val="hybridMultilevel"/>
    <w:tmpl w:val="A574F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041E3F"/>
    <w:multiLevelType w:val="hybridMultilevel"/>
    <w:tmpl w:val="414420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9A160B"/>
    <w:multiLevelType w:val="hybridMultilevel"/>
    <w:tmpl w:val="A660315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C1359E4"/>
    <w:multiLevelType w:val="hybridMultilevel"/>
    <w:tmpl w:val="833C1876"/>
    <w:lvl w:ilvl="0" w:tplc="04190001">
      <w:start w:val="1"/>
      <w:numFmt w:val="bullet"/>
      <w:lvlText w:val=""/>
      <w:lvlJc w:val="left"/>
      <w:pPr>
        <w:ind w:left="1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8" w:hanging="360"/>
      </w:pPr>
      <w:rPr>
        <w:rFonts w:ascii="Wingdings" w:hAnsi="Wingdings" w:hint="default"/>
      </w:rPr>
    </w:lvl>
  </w:abstractNum>
  <w:abstractNum w:abstractNumId="11">
    <w:nsid w:val="3EA02EF1"/>
    <w:multiLevelType w:val="hybridMultilevel"/>
    <w:tmpl w:val="1B948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834237"/>
    <w:multiLevelType w:val="hybridMultilevel"/>
    <w:tmpl w:val="F558F0C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46334E07"/>
    <w:multiLevelType w:val="hybridMultilevel"/>
    <w:tmpl w:val="6496365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4D35255A"/>
    <w:multiLevelType w:val="hybridMultilevel"/>
    <w:tmpl w:val="3404C8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4D9E6EC8"/>
    <w:multiLevelType w:val="hybridMultilevel"/>
    <w:tmpl w:val="648E3A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561F27AE"/>
    <w:multiLevelType w:val="hybridMultilevel"/>
    <w:tmpl w:val="EB1AFB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>
    <w:nsid w:val="5ED7159A"/>
    <w:multiLevelType w:val="hybridMultilevel"/>
    <w:tmpl w:val="AF526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1B660CB"/>
    <w:multiLevelType w:val="hybridMultilevel"/>
    <w:tmpl w:val="119E242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11B58EC"/>
    <w:multiLevelType w:val="hybridMultilevel"/>
    <w:tmpl w:val="43E034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71E071C7"/>
    <w:multiLevelType w:val="hybridMultilevel"/>
    <w:tmpl w:val="492A53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7C076442"/>
    <w:multiLevelType w:val="hybridMultilevel"/>
    <w:tmpl w:val="EA4E3E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7E2074BE"/>
    <w:multiLevelType w:val="hybridMultilevel"/>
    <w:tmpl w:val="BFDCE2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FC17218"/>
    <w:multiLevelType w:val="hybridMultilevel"/>
    <w:tmpl w:val="BBCE3D7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16"/>
  </w:num>
  <w:num w:numId="4">
    <w:abstractNumId w:val="10"/>
  </w:num>
  <w:num w:numId="5">
    <w:abstractNumId w:val="12"/>
  </w:num>
  <w:num w:numId="6">
    <w:abstractNumId w:val="15"/>
  </w:num>
  <w:num w:numId="7">
    <w:abstractNumId w:val="21"/>
  </w:num>
  <w:num w:numId="8">
    <w:abstractNumId w:val="1"/>
  </w:num>
  <w:num w:numId="9">
    <w:abstractNumId w:val="9"/>
  </w:num>
  <w:num w:numId="10">
    <w:abstractNumId w:val="6"/>
  </w:num>
  <w:num w:numId="11">
    <w:abstractNumId w:val="3"/>
  </w:num>
  <w:num w:numId="12">
    <w:abstractNumId w:val="23"/>
  </w:num>
  <w:num w:numId="13">
    <w:abstractNumId w:val="22"/>
  </w:num>
  <w:num w:numId="14">
    <w:abstractNumId w:val="2"/>
  </w:num>
  <w:num w:numId="15">
    <w:abstractNumId w:val="14"/>
  </w:num>
  <w:num w:numId="16">
    <w:abstractNumId w:val="17"/>
  </w:num>
  <w:num w:numId="17">
    <w:abstractNumId w:val="8"/>
  </w:num>
  <w:num w:numId="18">
    <w:abstractNumId w:val="7"/>
  </w:num>
  <w:num w:numId="19">
    <w:abstractNumId w:val="19"/>
  </w:num>
  <w:num w:numId="20">
    <w:abstractNumId w:val="13"/>
  </w:num>
  <w:num w:numId="21">
    <w:abstractNumId w:val="0"/>
  </w:num>
  <w:num w:numId="22">
    <w:abstractNumId w:val="20"/>
  </w:num>
  <w:num w:numId="23">
    <w:abstractNumId w:val="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7B9"/>
    <w:rsid w:val="00055A4B"/>
    <w:rsid w:val="00117A73"/>
    <w:rsid w:val="001D218C"/>
    <w:rsid w:val="00206E18"/>
    <w:rsid w:val="00554A21"/>
    <w:rsid w:val="005B5C4A"/>
    <w:rsid w:val="006B1B2C"/>
    <w:rsid w:val="00815569"/>
    <w:rsid w:val="008D07B9"/>
    <w:rsid w:val="00973E5D"/>
    <w:rsid w:val="00AF5AB3"/>
    <w:rsid w:val="00D25CDD"/>
    <w:rsid w:val="00DE778A"/>
    <w:rsid w:val="00E770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E5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D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D07B9"/>
  </w:style>
  <w:style w:type="paragraph" w:styleId="a6">
    <w:name w:val="footer"/>
    <w:basedOn w:val="a"/>
    <w:link w:val="a7"/>
    <w:uiPriority w:val="99"/>
    <w:unhideWhenUsed/>
    <w:rsid w:val="008D07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07B9"/>
  </w:style>
  <w:style w:type="paragraph" w:styleId="a8">
    <w:name w:val="Balloon Text"/>
    <w:basedOn w:val="a"/>
    <w:link w:val="a9"/>
    <w:uiPriority w:val="99"/>
    <w:semiHidden/>
    <w:unhideWhenUsed/>
    <w:rsid w:val="008D0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D07B9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8D07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Intense Emphasis"/>
    <w:basedOn w:val="a0"/>
    <w:uiPriority w:val="21"/>
    <w:qFormat/>
    <w:rsid w:val="008D07B9"/>
    <w:rPr>
      <w:b/>
      <w:bCs/>
      <w:i/>
      <w:iCs/>
      <w:color w:val="4F81BD" w:themeColor="accent1"/>
    </w:rPr>
  </w:style>
  <w:style w:type="table" w:styleId="ac">
    <w:name w:val="Table Grid"/>
    <w:basedOn w:val="a1"/>
    <w:uiPriority w:val="59"/>
    <w:rsid w:val="008D07B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Strong"/>
    <w:basedOn w:val="a0"/>
    <w:uiPriority w:val="22"/>
    <w:qFormat/>
    <w:rsid w:val="008D07B9"/>
    <w:rPr>
      <w:b/>
      <w:bCs/>
    </w:rPr>
  </w:style>
  <w:style w:type="character" w:styleId="ae">
    <w:name w:val="Hyperlink"/>
    <w:basedOn w:val="a0"/>
    <w:uiPriority w:val="99"/>
    <w:unhideWhenUsed/>
    <w:rsid w:val="008D07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chart" Target="charts/chart7.xml"/><Relationship Id="rId18" Type="http://schemas.openxmlformats.org/officeDocument/2006/relationships/chart" Target="charts/chart12.xm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chart" Target="charts/chart15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17" Type="http://schemas.openxmlformats.org/officeDocument/2006/relationships/chart" Target="charts/chart11.xml"/><Relationship Id="rId25" Type="http://schemas.openxmlformats.org/officeDocument/2006/relationships/hyperlink" Target="http://www.antlab.sci.waseda.ac.jp/" TargetMode="External"/><Relationship Id="rId2" Type="http://schemas.openxmlformats.org/officeDocument/2006/relationships/styles" Target="styles.xml"/><Relationship Id="rId16" Type="http://schemas.openxmlformats.org/officeDocument/2006/relationships/chart" Target="charts/chart10.xml"/><Relationship Id="rId20" Type="http://schemas.openxmlformats.org/officeDocument/2006/relationships/chart" Target="charts/chart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hyperlink" Target="mailto:anthony0122@gmail.com" TargetMode="External"/><Relationship Id="rId5" Type="http://schemas.openxmlformats.org/officeDocument/2006/relationships/footnotes" Target="footnotes.xml"/><Relationship Id="rId15" Type="http://schemas.openxmlformats.org/officeDocument/2006/relationships/chart" Target="charts/chart9.xml"/><Relationship Id="rId23" Type="http://schemas.openxmlformats.org/officeDocument/2006/relationships/chart" Target="charts/chart17.xml"/><Relationship Id="rId28" Type="http://schemas.openxmlformats.org/officeDocument/2006/relationships/theme" Target="theme/theme1.xml"/><Relationship Id="rId10" Type="http://schemas.openxmlformats.org/officeDocument/2006/relationships/chart" Target="charts/chart4.xml"/><Relationship Id="rId19" Type="http://schemas.openxmlformats.org/officeDocument/2006/relationships/chart" Target="charts/chart13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chart" Target="charts/chart8.xml"/><Relationship Id="rId22" Type="http://schemas.openxmlformats.org/officeDocument/2006/relationships/chart" Target="charts/chart16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ocuments%20and%20Settings\Yuri%20Nickolaevitch\&#1052;&#1086;&#1080;%20&#1076;&#1086;&#1082;&#1091;&#1084;&#1077;&#1085;&#1090;&#1099;\&#1053;&#1054;&#1042;&#1067;&#1049;%20&#1047;&#1040;&#1042;&#1045;&#1058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N(F=1)/N </a:t>
            </a:r>
            <a:r>
              <a:rPr lang="ru-RU"/>
              <a:t>стихов</a:t>
            </a:r>
          </a:p>
        </c:rich>
      </c:tx>
      <c:layout>
        <c:manualLayout>
          <c:xMode val="edge"/>
          <c:yMode val="edge"/>
          <c:x val="0.37556255468066663"/>
          <c:y val="0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Лист4!$W$537</c:f>
              <c:strCache>
                <c:ptCount val="1"/>
                <c:pt idx="0">
                  <c:v>N(F=1)/N Предл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9.3596894138234049E-2"/>
                  <c:y val="-0.50239077773767249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9866622922134449"/>
                  <c:y val="-0.32011224827728635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3837445319335164"/>
                  <c:y val="-1.1172732960625393E-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1.8208880139982613E-2"/>
                  <c:y val="-0.347116474864011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2736657917760816E-2"/>
                  <c:y val="-0.152944922540929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2226356080489942"/>
                  <c:y val="-0.50239077773767249"/>
                </c:manualLayout>
              </c:layout>
              <c:numFmt formatCode="General" sourceLinked="0"/>
            </c:trendlineLbl>
          </c:trendline>
          <c:val>
            <c:numRef>
              <c:f>Лист4!$W$538:$W$563</c:f>
              <c:numCache>
                <c:formatCode>General</c:formatCode>
                <c:ptCount val="26"/>
                <c:pt idx="0">
                  <c:v>10.48</c:v>
                </c:pt>
                <c:pt idx="1">
                  <c:v>9.0769230769230749</c:v>
                </c:pt>
                <c:pt idx="2">
                  <c:v>8.557377049180328</c:v>
                </c:pt>
                <c:pt idx="3">
                  <c:v>7.7333333333334107</c:v>
                </c:pt>
                <c:pt idx="4">
                  <c:v>7.2608695652173916</c:v>
                </c:pt>
                <c:pt idx="5">
                  <c:v>6.3404255319148906</c:v>
                </c:pt>
                <c:pt idx="6">
                  <c:v>6.3253012048192767</c:v>
                </c:pt>
                <c:pt idx="7">
                  <c:v>6.0277777777777066</c:v>
                </c:pt>
                <c:pt idx="8">
                  <c:v>5.9557522123893802</c:v>
                </c:pt>
                <c:pt idx="9">
                  <c:v>5.7142857142857055</c:v>
                </c:pt>
                <c:pt idx="10">
                  <c:v>5.48</c:v>
                </c:pt>
                <c:pt idx="11">
                  <c:v>5.3578947368421055</c:v>
                </c:pt>
                <c:pt idx="12">
                  <c:v>4.9615384615384617</c:v>
                </c:pt>
                <c:pt idx="13">
                  <c:v>4.6629213483146055</c:v>
                </c:pt>
                <c:pt idx="14">
                  <c:v>4.3630363036303628</c:v>
                </c:pt>
                <c:pt idx="15">
                  <c:v>4.3221476510066745</c:v>
                </c:pt>
                <c:pt idx="16">
                  <c:v>4.2903225806451823</c:v>
                </c:pt>
                <c:pt idx="17">
                  <c:v>4.2352941176470589</c:v>
                </c:pt>
                <c:pt idx="18">
                  <c:v>3.9515885022692867</c:v>
                </c:pt>
                <c:pt idx="19">
                  <c:v>3.3094688221708624</c:v>
                </c:pt>
                <c:pt idx="20">
                  <c:v>3.1533180778032035</c:v>
                </c:pt>
                <c:pt idx="21">
                  <c:v>2.8747514910536767</c:v>
                </c:pt>
                <c:pt idx="22">
                  <c:v>2.4857142857142858</c:v>
                </c:pt>
                <c:pt idx="23">
                  <c:v>2.4456928838951177</c:v>
                </c:pt>
                <c:pt idx="24">
                  <c:v>1.7690557451649598</c:v>
                </c:pt>
                <c:pt idx="25">
                  <c:v>0.24220000000000041</c:v>
                </c:pt>
              </c:numCache>
            </c:numRef>
          </c:val>
        </c:ser>
        <c:marker val="1"/>
        <c:axId val="91873664"/>
        <c:axId val="91875200"/>
      </c:lineChart>
      <c:catAx>
        <c:axId val="91873664"/>
        <c:scaling>
          <c:orientation val="minMax"/>
        </c:scaling>
        <c:axPos val="b"/>
        <c:tickLblPos val="nextTo"/>
        <c:crossAx val="91875200"/>
        <c:crosses val="autoZero"/>
        <c:auto val="1"/>
        <c:lblAlgn val="ctr"/>
        <c:lblOffset val="100"/>
      </c:catAx>
      <c:valAx>
        <c:axId val="91875200"/>
        <c:scaling>
          <c:orientation val="minMax"/>
        </c:scaling>
        <c:axPos val="l"/>
        <c:numFmt formatCode="General" sourceLinked="1"/>
        <c:tickLblPos val="nextTo"/>
        <c:crossAx val="9187366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8.0472222222222223E-2"/>
          <c:y val="0.20938946263943894"/>
          <c:w val="0.88619444444444462"/>
          <c:h val="0.57914798041087945"/>
        </c:manualLayout>
      </c:layout>
      <c:lineChart>
        <c:grouping val="standard"/>
        <c:ser>
          <c:idx val="0"/>
          <c:order val="0"/>
          <c:tx>
            <c:strRef>
              <c:f>Лист4!$F$460</c:f>
              <c:strCache>
                <c:ptCount val="1"/>
                <c:pt idx="0">
                  <c:v>LN  КN(F=2)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6170778652668463"/>
                  <c:y val="0.10901868609707356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0,0472x + 7,6326
R² = 0,6060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1.0708880139982691E-2"/>
                  <c:y val="0.3107768605827310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3.9500437445319482E-2"/>
                  <c:y val="9.6908913515043965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8.8999562554681028E-2"/>
                  <c:y val="-0.24919026912680717"/>
                </c:manualLayout>
              </c:layout>
              <c:numFmt formatCode="General" sourceLinked="0"/>
            </c:trendlineLbl>
          </c:trendline>
          <c:trendline>
            <c:trendlineType val="exp"/>
          </c:trendline>
          <c:trendline>
            <c:trendlineType val="exp"/>
            <c:dispRSqr val="1"/>
            <c:dispEq val="1"/>
            <c:trendlineLbl>
              <c:layout>
                <c:manualLayout>
                  <c:x val="-0.63762445319335315"/>
                  <c:y val="-0.22928977161436909"/>
                </c:manualLayout>
              </c:layout>
              <c:numFmt formatCode="General" sourceLinked="0"/>
            </c:trendlineLbl>
          </c:trendline>
          <c:val>
            <c:numRef>
              <c:f>Лист4!$F$461:$F$486</c:f>
              <c:numCache>
                <c:formatCode>General</c:formatCode>
                <c:ptCount val="26"/>
                <c:pt idx="0">
                  <c:v>6.6025878921893355</c:v>
                </c:pt>
                <c:pt idx="1">
                  <c:v>7.2834482287566313</c:v>
                </c:pt>
                <c:pt idx="2">
                  <c:v>7.6704285221906927</c:v>
                </c:pt>
                <c:pt idx="3">
                  <c:v>7.8838232148921534</c:v>
                </c:pt>
                <c:pt idx="4">
                  <c:v>8.0333340158800706</c:v>
                </c:pt>
                <c:pt idx="5">
                  <c:v>8.12740456269308</c:v>
                </c:pt>
                <c:pt idx="6">
                  <c:v>8.2109397333790213</c:v>
                </c:pt>
                <c:pt idx="7">
                  <c:v>8.2738469327845205</c:v>
                </c:pt>
                <c:pt idx="8">
                  <c:v>8.3311045480530392</c:v>
                </c:pt>
                <c:pt idx="9">
                  <c:v>8.3614746164168228</c:v>
                </c:pt>
                <c:pt idx="10">
                  <c:v>8.3882228101192773</c:v>
                </c:pt>
                <c:pt idx="11">
                  <c:v>8.4120548732930267</c:v>
                </c:pt>
                <c:pt idx="12">
                  <c:v>8.4344635438172428</c:v>
                </c:pt>
                <c:pt idx="13">
                  <c:v>8.4559558819450746</c:v>
                </c:pt>
                <c:pt idx="14">
                  <c:v>8.4747031397952846</c:v>
                </c:pt>
                <c:pt idx="15">
                  <c:v>8.4922855557100547</c:v>
                </c:pt>
                <c:pt idx="16">
                  <c:v>8.5093626123010502</c:v>
                </c:pt>
                <c:pt idx="17">
                  <c:v>8.5243673951642371</c:v>
                </c:pt>
                <c:pt idx="18">
                  <c:v>8.5373878987017573</c:v>
                </c:pt>
                <c:pt idx="19">
                  <c:v>8.5500475282873527</c:v>
                </c:pt>
                <c:pt idx="20">
                  <c:v>8.5592943674348732</c:v>
                </c:pt>
                <c:pt idx="21">
                  <c:v>8.5675060052898768</c:v>
                </c:pt>
                <c:pt idx="22">
                  <c:v>8.5737625429041326</c:v>
                </c:pt>
                <c:pt idx="23">
                  <c:v>8.5784764198331356</c:v>
                </c:pt>
                <c:pt idx="24">
                  <c:v>8.5818567047419592</c:v>
                </c:pt>
                <c:pt idx="25">
                  <c:v>8.5848518398900531</c:v>
                </c:pt>
              </c:numCache>
            </c:numRef>
          </c:val>
        </c:ser>
        <c:marker val="1"/>
        <c:axId val="92494464"/>
        <c:axId val="92504448"/>
      </c:lineChart>
      <c:catAx>
        <c:axId val="92494464"/>
        <c:scaling>
          <c:orientation val="minMax"/>
        </c:scaling>
        <c:axPos val="b"/>
        <c:tickLblPos val="nextTo"/>
        <c:crossAx val="92504448"/>
        <c:crosses val="autoZero"/>
        <c:auto val="1"/>
        <c:lblAlgn val="ctr"/>
        <c:lblOffset val="100"/>
      </c:catAx>
      <c:valAx>
        <c:axId val="92504448"/>
        <c:scaling>
          <c:orientation val="minMax"/>
        </c:scaling>
        <c:axPos val="l"/>
        <c:numFmt formatCode="General" sourceLinked="1"/>
        <c:tickLblPos val="nextTo"/>
        <c:crossAx val="9249446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5.7935039370078739E-2"/>
          <c:y val="0.18751166520851562"/>
          <c:w val="0.89762051618548944"/>
          <c:h val="0.68285104986876644"/>
        </c:manualLayout>
      </c:layout>
      <c:lineChart>
        <c:grouping val="standard"/>
        <c:ser>
          <c:idx val="0"/>
          <c:order val="0"/>
          <c:tx>
            <c:strRef>
              <c:f>Лист4!$P$485</c:f>
              <c:strCache>
                <c:ptCount val="1"/>
                <c:pt idx="0">
                  <c:v>LN KV(F=2)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4468963254593805"/>
                  <c:y val="0.16797514877873651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8.25339020122485E-2"/>
                  <c:y val="0.1672352589589667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3.1091207349081402E-2"/>
                  <c:y val="-0.10018658558769269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6017585301838335"/>
                  <c:y val="0.39208643162263679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6,0178x0,089</a:t>
                    </a:r>
                    <a:r>
                      <a:rPr lang="ru-RU"/>
                      <a:t>0</a:t>
                    </a:r>
                    <a:r>
                      <a:rPr lang="en-US"/>
                      <a:t>
R² = 0,9479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5.2421259842520248E-3"/>
                  <c:y val="0.36274836932512444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9630074365704056"/>
                  <c:y val="-0.1179599362289914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6,5364e0,01</a:t>
                    </a:r>
                    <a:r>
                      <a:rPr lang="ru-RU"/>
                      <a:t>00</a:t>
                    </a:r>
                    <a:r>
                      <a:rPr lang="en-US"/>
                      <a:t>x
R² = 0,6856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Лист4!$P$486:$P$506</c:f>
              <c:numCache>
                <c:formatCode>General</c:formatCode>
                <c:ptCount val="21"/>
                <c:pt idx="0">
                  <c:v>5.7170277014062219</c:v>
                </c:pt>
                <c:pt idx="1">
                  <c:v>6.3952615981154475</c:v>
                </c:pt>
                <c:pt idx="2">
                  <c:v>6.7310181004821361</c:v>
                </c:pt>
                <c:pt idx="3">
                  <c:v>6.9744789110250451</c:v>
                </c:pt>
                <c:pt idx="4">
                  <c:v>7.0875737055579728</c:v>
                </c:pt>
                <c:pt idx="5">
                  <c:v>7.180069874302796</c:v>
                </c:pt>
                <c:pt idx="6">
                  <c:v>7.2577076771600355</c:v>
                </c:pt>
                <c:pt idx="7">
                  <c:v>7.3271232922592855</c:v>
                </c:pt>
                <c:pt idx="8">
                  <c:v>7.3907985217356762</c:v>
                </c:pt>
                <c:pt idx="9">
                  <c:v>7.4442486494967053</c:v>
                </c:pt>
                <c:pt idx="10">
                  <c:v>7.4927603009223924</c:v>
                </c:pt>
                <c:pt idx="11">
                  <c:v>7.5384949994134693</c:v>
                </c:pt>
                <c:pt idx="12">
                  <c:v>7.5776338326027304</c:v>
                </c:pt>
                <c:pt idx="13">
                  <c:v>7.6108527903952465</c:v>
                </c:pt>
                <c:pt idx="14">
                  <c:v>7.6425241342328976</c:v>
                </c:pt>
                <c:pt idx="15">
                  <c:v>7.6652847184713355</c:v>
                </c:pt>
                <c:pt idx="16">
                  <c:v>7.6852436079758331</c:v>
                </c:pt>
                <c:pt idx="17">
                  <c:v>7.7002952034201524</c:v>
                </c:pt>
                <c:pt idx="18">
                  <c:v>7.7115489796291463</c:v>
                </c:pt>
                <c:pt idx="19">
                  <c:v>7.7195739892595814</c:v>
                </c:pt>
                <c:pt idx="20">
                  <c:v>7.7266536648476434</c:v>
                </c:pt>
              </c:numCache>
            </c:numRef>
          </c:val>
        </c:ser>
        <c:marker val="1"/>
        <c:axId val="92574464"/>
        <c:axId val="92576000"/>
      </c:lineChart>
      <c:catAx>
        <c:axId val="92574464"/>
        <c:scaling>
          <c:orientation val="minMax"/>
        </c:scaling>
        <c:axPos val="b"/>
        <c:tickLblPos val="nextTo"/>
        <c:crossAx val="92576000"/>
        <c:crosses val="autoZero"/>
        <c:auto val="1"/>
        <c:lblAlgn val="ctr"/>
        <c:lblOffset val="100"/>
      </c:catAx>
      <c:valAx>
        <c:axId val="92576000"/>
        <c:scaling>
          <c:orientation val="minMax"/>
        </c:scaling>
        <c:axPos val="l"/>
        <c:numFmt formatCode="General" sourceLinked="1"/>
        <c:tickLblPos val="nextTo"/>
        <c:crossAx val="9257446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N(F=2)/N  </a:t>
            </a:r>
            <a:r>
              <a:rPr lang="ru-RU"/>
              <a:t>стихов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Лист4!$AB$537</c:f>
              <c:strCache>
                <c:ptCount val="1"/>
                <c:pt idx="0">
                  <c:v>N(F=2)/N  Предл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46476749781277338"/>
                  <c:y val="-0.29231773111694898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2992475940507533"/>
                  <c:y val="6.917241153984402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8.0174759405074361E-2"/>
                  <c:y val="-0.35838381198200958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6.8554243219597563E-3"/>
                  <c:y val="-0.20180873656353121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6.4130796150481395E-2"/>
                  <c:y val="4.9571230982019404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52082305336833701"/>
                  <c:y val="-0.38163750364537768"/>
                </c:manualLayout>
              </c:layout>
              <c:numFmt formatCode="General" sourceLinked="0"/>
            </c:trendlineLbl>
          </c:trendline>
          <c:val>
            <c:numRef>
              <c:f>Лист4!$AB$538:$AB$563</c:f>
              <c:numCache>
                <c:formatCode>General</c:formatCode>
                <c:ptCount val="26"/>
                <c:pt idx="0">
                  <c:v>1.32</c:v>
                </c:pt>
                <c:pt idx="1">
                  <c:v>1.2307692307692173</c:v>
                </c:pt>
                <c:pt idx="2">
                  <c:v>1.2</c:v>
                </c:pt>
                <c:pt idx="3">
                  <c:v>1.0819672131147478</c:v>
                </c:pt>
                <c:pt idx="4">
                  <c:v>1.0212765957446652</c:v>
                </c:pt>
                <c:pt idx="5">
                  <c:v>1.0095238095238095</c:v>
                </c:pt>
                <c:pt idx="6">
                  <c:v>1</c:v>
                </c:pt>
                <c:pt idx="7">
                  <c:v>0.94444444444444464</c:v>
                </c:pt>
                <c:pt idx="8">
                  <c:v>0.93478260869565222</c:v>
                </c:pt>
                <c:pt idx="9">
                  <c:v>0.90588235294117669</c:v>
                </c:pt>
                <c:pt idx="10">
                  <c:v>0.89473684210526316</c:v>
                </c:pt>
                <c:pt idx="11">
                  <c:v>0.88495575221238965</c:v>
                </c:pt>
                <c:pt idx="12">
                  <c:v>0.85576923076923073</c:v>
                </c:pt>
                <c:pt idx="13">
                  <c:v>0.84269662921349531</c:v>
                </c:pt>
                <c:pt idx="14">
                  <c:v>0.82580645161290323</c:v>
                </c:pt>
                <c:pt idx="15">
                  <c:v>0.8</c:v>
                </c:pt>
                <c:pt idx="16">
                  <c:v>0.78877887788779555</c:v>
                </c:pt>
                <c:pt idx="17">
                  <c:v>0.7831325301204819</c:v>
                </c:pt>
                <c:pt idx="18">
                  <c:v>0.77852348993288589</c:v>
                </c:pt>
                <c:pt idx="19">
                  <c:v>0.75221238938053059</c:v>
                </c:pt>
                <c:pt idx="20">
                  <c:v>0.73260437375745524</c:v>
                </c:pt>
                <c:pt idx="21">
                  <c:v>0.69565217391304368</c:v>
                </c:pt>
                <c:pt idx="22">
                  <c:v>0.68129330254041665</c:v>
                </c:pt>
                <c:pt idx="23">
                  <c:v>0.64239028944912169</c:v>
                </c:pt>
                <c:pt idx="24">
                  <c:v>0.62467419635100963</c:v>
                </c:pt>
                <c:pt idx="25">
                  <c:v>0.48691695108077965</c:v>
                </c:pt>
              </c:numCache>
            </c:numRef>
          </c:val>
        </c:ser>
        <c:marker val="1"/>
        <c:axId val="92620672"/>
        <c:axId val="92622208"/>
      </c:lineChart>
      <c:catAx>
        <c:axId val="92620672"/>
        <c:scaling>
          <c:orientation val="minMax"/>
        </c:scaling>
        <c:axPos val="b"/>
        <c:tickLblPos val="nextTo"/>
        <c:crossAx val="92622208"/>
        <c:crosses val="autoZero"/>
        <c:auto val="1"/>
        <c:lblAlgn val="ctr"/>
        <c:lblOffset val="100"/>
      </c:catAx>
      <c:valAx>
        <c:axId val="92622208"/>
        <c:scaling>
          <c:orientation val="minMax"/>
        </c:scaling>
        <c:axPos val="l"/>
        <c:numFmt formatCode="General" sourceLinked="1"/>
        <c:tickLblPos val="nextTo"/>
        <c:crossAx val="92620672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KN(F=2)/N c</a:t>
            </a:r>
            <a:r>
              <a:rPr lang="ru-RU"/>
              <a:t>тихов</a:t>
            </a:r>
          </a:p>
        </c:rich>
      </c:tx>
      <c:layout>
        <c:manualLayout>
          <c:xMode val="edge"/>
          <c:yMode val="edge"/>
          <c:x val="0.36651377952756387"/>
          <c:y val="2.150537634408603E-2"/>
        </c:manualLayout>
      </c:layout>
    </c:title>
    <c:plotArea>
      <c:layout>
        <c:manualLayout>
          <c:layoutTarget val="inner"/>
          <c:xMode val="edge"/>
          <c:yMode val="edge"/>
          <c:x val="9.2988407699037615E-2"/>
          <c:y val="0.15524314669000064"/>
          <c:w val="0.87645603674540684"/>
          <c:h val="0.81187481773112569"/>
        </c:manualLayout>
      </c:layout>
      <c:lineChart>
        <c:grouping val="standard"/>
        <c:ser>
          <c:idx val="0"/>
          <c:order val="0"/>
          <c:tx>
            <c:strRef>
              <c:f>Лист4!$AC$537</c:f>
              <c:strCache>
                <c:ptCount val="1"/>
                <c:pt idx="0">
                  <c:v>KN(F=2)/N  Предл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1.2922790901137361E-2"/>
                  <c:y val="-0.15277368554737347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3513429571303592"/>
                  <c:y val="-6.7280183727034121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3,411e0,0862x
R² = 0,829</a:t>
                    </a:r>
                    <a:r>
                      <a:rPr lang="ru-RU"/>
                      <a:t>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30700612423447493"/>
                  <c:y val="-0.23504148674964179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21483945756780801"/>
                  <c:y val="-7.9078824824318009E-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1.1424321959755231E-2"/>
                  <c:y val="0.3068389636779352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3102012248470118"/>
                  <c:y val="2.8325289983913302E-2"/>
                </c:manualLayout>
              </c:layout>
              <c:numFmt formatCode="General" sourceLinked="0"/>
            </c:trendlineLbl>
          </c:trendline>
          <c:val>
            <c:numRef>
              <c:f>Лист4!$AC$538:$AC$563</c:f>
              <c:numCache>
                <c:formatCode>General</c:formatCode>
                <c:ptCount val="26"/>
                <c:pt idx="0">
                  <c:v>1.32</c:v>
                </c:pt>
                <c:pt idx="1">
                  <c:v>2.5507692307692307</c:v>
                </c:pt>
                <c:pt idx="2">
                  <c:v>3.7507692307692313</c:v>
                </c:pt>
                <c:pt idx="3">
                  <c:v>4.8327364438839853</c:v>
                </c:pt>
                <c:pt idx="4">
                  <c:v>5.8540130396286658</c:v>
                </c:pt>
                <c:pt idx="5">
                  <c:v>6.8635368491523732</c:v>
                </c:pt>
                <c:pt idx="6">
                  <c:v>7.8635368491523732</c:v>
                </c:pt>
                <c:pt idx="7">
                  <c:v>8.8079812935969208</c:v>
                </c:pt>
                <c:pt idx="8">
                  <c:v>9.7427639022923955</c:v>
                </c:pt>
                <c:pt idx="9">
                  <c:v>10.64864625523375</c:v>
                </c:pt>
                <c:pt idx="10">
                  <c:v>11.543383097339012</c:v>
                </c:pt>
                <c:pt idx="11">
                  <c:v>12.428338849551398</c:v>
                </c:pt>
                <c:pt idx="12">
                  <c:v>13.284108080320618</c:v>
                </c:pt>
                <c:pt idx="13">
                  <c:v>14.126804709534115</c:v>
                </c:pt>
                <c:pt idx="14">
                  <c:v>14.95261116114702</c:v>
                </c:pt>
                <c:pt idx="15">
                  <c:v>15.752611161147019</c:v>
                </c:pt>
                <c:pt idx="16">
                  <c:v>16.541390039034809</c:v>
                </c:pt>
                <c:pt idx="17">
                  <c:v>17.324522569155189</c:v>
                </c:pt>
                <c:pt idx="18">
                  <c:v>18.103046059088193</c:v>
                </c:pt>
                <c:pt idx="19">
                  <c:v>18.855258448468735</c:v>
                </c:pt>
                <c:pt idx="20">
                  <c:v>19.587862822226164</c:v>
                </c:pt>
                <c:pt idx="21">
                  <c:v>20.283514996138862</c:v>
                </c:pt>
                <c:pt idx="22">
                  <c:v>20.964808298679621</c:v>
                </c:pt>
                <c:pt idx="23">
                  <c:v>21.607198588128732</c:v>
                </c:pt>
                <c:pt idx="24">
                  <c:v>22.231872784479734</c:v>
                </c:pt>
                <c:pt idx="25">
                  <c:v>22.718789735560176</c:v>
                </c:pt>
              </c:numCache>
            </c:numRef>
          </c:val>
        </c:ser>
        <c:marker val="1"/>
        <c:axId val="92794240"/>
        <c:axId val="92824704"/>
      </c:lineChart>
      <c:catAx>
        <c:axId val="92794240"/>
        <c:scaling>
          <c:orientation val="minMax"/>
        </c:scaling>
        <c:axPos val="b"/>
        <c:tickLblPos val="nextTo"/>
        <c:crossAx val="92824704"/>
        <c:crosses val="autoZero"/>
        <c:auto val="1"/>
        <c:lblAlgn val="ctr"/>
        <c:lblOffset val="100"/>
      </c:catAx>
      <c:valAx>
        <c:axId val="92824704"/>
        <c:scaling>
          <c:orientation val="minMax"/>
        </c:scaling>
        <c:axPos val="l"/>
        <c:numFmt formatCode="General" sourceLinked="1"/>
        <c:tickLblPos val="nextTo"/>
        <c:crossAx val="92794240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Приблизительное богатство словарей </a:t>
            </a:r>
            <a:r>
              <a:rPr lang="en-US"/>
              <a:t>1-F(h)</a:t>
            </a:r>
          </a:p>
        </c:rich>
      </c:tx>
      <c:layout>
        <c:manualLayout>
          <c:xMode val="edge"/>
          <c:yMode val="edge"/>
          <c:x val="0.28196707554412842"/>
          <c:y val="5.095541401273896E-2"/>
        </c:manualLayout>
      </c:layout>
    </c:title>
    <c:plotArea>
      <c:layout>
        <c:manualLayout>
          <c:layoutTarget val="inner"/>
          <c:xMode val="edge"/>
          <c:yMode val="edge"/>
          <c:x val="7.4627814380345311E-2"/>
          <c:y val="0.21474737532808399"/>
          <c:w val="0.90042887496205837"/>
          <c:h val="0.55619985001875305"/>
        </c:manualLayout>
      </c:layout>
      <c:lineChart>
        <c:grouping val="standard"/>
        <c:ser>
          <c:idx val="0"/>
          <c:order val="0"/>
          <c:tx>
            <c:strRef>
              <c:f>Лист6!$G$56</c:f>
              <c:strCache>
                <c:ptCount val="1"/>
                <c:pt idx="0">
                  <c:v>1-F(h)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4.4443373149784852E-2"/>
                  <c:y val="-0.26063293043783525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63471780313175163"/>
                  <c:y val="5.9320260126719933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8054528898173439"/>
                  <c:y val="-0.24557602174728171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0,9483x-0,099</a:t>
                    </a:r>
                    <a:r>
                      <a:rPr lang="ru-RU"/>
                      <a:t>0</a:t>
                    </a:r>
                    <a:r>
                      <a:rPr lang="en-US"/>
                      <a:t>
R² = 0,7841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3980841680504241"/>
                  <c:y val="8.9387297925338699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6.2382202224722523E-2"/>
                  <c:y val="0.24389576302962129"/>
                </c:manualLayout>
              </c:layout>
              <c:numFmt formatCode="General" sourceLinked="0"/>
            </c:trendlineLbl>
          </c:trendline>
          <c:trendline>
            <c:trendlineType val="power"/>
          </c:trendline>
          <c:trendline>
            <c:trendlineType val="exp"/>
            <c:dispRSqr val="1"/>
            <c:dispEq val="1"/>
            <c:trendlineLbl>
              <c:layout>
                <c:manualLayout>
                  <c:x val="-0.66347063759888625"/>
                  <c:y val="0.2393250843644544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0,8961e-0,014</a:t>
                    </a:r>
                    <a:r>
                      <a:rPr lang="ru-RU"/>
                      <a:t>0</a:t>
                    </a:r>
                    <a:r>
                      <a:rPr lang="en-US"/>
                      <a:t>x
R² = 0,9414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Лист6!$G$57:$G$77</c:f>
              <c:numCache>
                <c:formatCode>General</c:formatCode>
                <c:ptCount val="21"/>
                <c:pt idx="0">
                  <c:v>0.90159999999999996</c:v>
                </c:pt>
                <c:pt idx="1">
                  <c:v>0.85520000000000063</c:v>
                </c:pt>
                <c:pt idx="2">
                  <c:v>0.84619999999999995</c:v>
                </c:pt>
                <c:pt idx="3">
                  <c:v>0.82780000000000065</c:v>
                </c:pt>
                <c:pt idx="4">
                  <c:v>0.81390000000000062</c:v>
                </c:pt>
                <c:pt idx="5">
                  <c:v>0.81020000000000003</c:v>
                </c:pt>
                <c:pt idx="6">
                  <c:v>0.80870000000000064</c:v>
                </c:pt>
                <c:pt idx="7">
                  <c:v>0.80020000000000002</c:v>
                </c:pt>
                <c:pt idx="8">
                  <c:v>0.79890000000000005</c:v>
                </c:pt>
                <c:pt idx="9">
                  <c:v>0.78680000000000005</c:v>
                </c:pt>
                <c:pt idx="10">
                  <c:v>0.78410000000000002</c:v>
                </c:pt>
                <c:pt idx="11">
                  <c:v>0.76630000000000065</c:v>
                </c:pt>
                <c:pt idx="12">
                  <c:v>0.75120000000000064</c:v>
                </c:pt>
                <c:pt idx="13">
                  <c:v>0.75000000000000422</c:v>
                </c:pt>
                <c:pt idx="14">
                  <c:v>0.74870000000000525</c:v>
                </c:pt>
                <c:pt idx="15">
                  <c:v>0.74160000000000525</c:v>
                </c:pt>
                <c:pt idx="16">
                  <c:v>0.70250000000000001</c:v>
                </c:pt>
                <c:pt idx="17">
                  <c:v>0.69159999999999999</c:v>
                </c:pt>
                <c:pt idx="18">
                  <c:v>0.66170000000000606</c:v>
                </c:pt>
                <c:pt idx="19">
                  <c:v>0.64870000000000538</c:v>
                </c:pt>
                <c:pt idx="20">
                  <c:v>0.64730000000000065</c:v>
                </c:pt>
              </c:numCache>
            </c:numRef>
          </c:val>
        </c:ser>
        <c:marker val="1"/>
        <c:axId val="92920064"/>
        <c:axId val="92930048"/>
      </c:lineChart>
      <c:catAx>
        <c:axId val="92920064"/>
        <c:scaling>
          <c:orientation val="minMax"/>
        </c:scaling>
        <c:axPos val="b"/>
        <c:tickLblPos val="nextTo"/>
        <c:crossAx val="92930048"/>
        <c:crosses val="autoZero"/>
        <c:auto val="1"/>
        <c:lblAlgn val="ctr"/>
        <c:lblOffset val="100"/>
      </c:catAx>
      <c:valAx>
        <c:axId val="92930048"/>
        <c:scaling>
          <c:orientation val="minMax"/>
        </c:scaling>
        <c:axPos val="l"/>
        <c:numFmt formatCode="General" sourceLinked="1"/>
        <c:tickLblPos val="nextTo"/>
        <c:crossAx val="9292006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900"/>
            </a:pPr>
            <a:r>
              <a:rPr lang="ru-RU" sz="900"/>
              <a:t>Уточненное богатство словарей (</a:t>
            </a:r>
            <a:r>
              <a:rPr lang="ru-RU" sz="900" b="1" i="1" u="sng" strike="noStrike" baseline="0"/>
              <a:t>1-F(h)</a:t>
            </a:r>
            <a:r>
              <a:rPr lang="ru-RU" sz="900" b="1" i="0" u="none" strike="noStrike" baseline="0"/>
              <a:t> </a:t>
            </a:r>
            <a:r>
              <a:rPr lang="en-US" sz="900"/>
              <a:t>)</a:t>
            </a:r>
          </a:p>
        </c:rich>
      </c:tx>
      <c:layout>
        <c:manualLayout>
          <c:xMode val="edge"/>
          <c:yMode val="edge"/>
          <c:x val="0.30284891311663026"/>
          <c:y val="0"/>
        </c:manualLayout>
      </c:layout>
      <c:overlay val="1"/>
    </c:title>
    <c:plotArea>
      <c:layout>
        <c:manualLayout>
          <c:layoutTarget val="inner"/>
          <c:xMode val="edge"/>
          <c:yMode val="edge"/>
          <c:x val="8.4286874397110648E-2"/>
          <c:y val="0.19447735981055916"/>
          <c:w val="0.88836269825245995"/>
          <c:h val="0.61000204759909749"/>
        </c:manualLayout>
      </c:layout>
      <c:lineChart>
        <c:grouping val="standard"/>
        <c:ser>
          <c:idx val="0"/>
          <c:order val="0"/>
          <c:tx>
            <c:strRef>
              <c:f>Лист6!$H$180</c:f>
              <c:strCache>
                <c:ptCount val="1"/>
                <c:pt idx="0">
                  <c:v>1-F(h)</c:v>
                </c:pt>
              </c:strCache>
            </c:strRef>
          </c:tx>
          <c:marker>
            <c:symbol val="none"/>
          </c:marker>
          <c:trendline>
            <c:trendlineType val="exp"/>
            <c:dispRSqr val="1"/>
            <c:dispEq val="1"/>
            <c:trendlineLbl>
              <c:layout>
                <c:manualLayout>
                  <c:x val="-0.53819898153756418"/>
                  <c:y val="-0.29420396741283988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0,9518e-0,0050x
R² = 0,8942</a:t>
                    </a:r>
                  </a:p>
                </c:rich>
              </c:tx>
              <c:numFmt formatCode="General" sourceLinked="0"/>
            </c:trendlineLbl>
          </c:trendline>
          <c:trendline>
            <c:trendlineType val="linear"/>
            <c:dispRSqr val="1"/>
            <c:dispEq val="1"/>
            <c:trendlineLbl>
              <c:layout>
                <c:manualLayout>
                  <c:x val="-0.5284666083406222"/>
                  <c:y val="-3.1850593519348866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1697942885344458"/>
                  <c:y val="-0.15485489537337421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6023877784507738"/>
                  <c:y val="0.17687985712308535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3.7271238531081455E-3"/>
                  <c:y val="0.1123278737010543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18324732485362444"/>
                  <c:y val="-0.3023603520148222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0,9811x-0,0400
R² = 0,9613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Лист6!$H$181:$H$201</c:f>
              <c:numCache>
                <c:formatCode>General</c:formatCode>
                <c:ptCount val="21"/>
                <c:pt idx="0">
                  <c:v>0.97390000000000065</c:v>
                </c:pt>
                <c:pt idx="1">
                  <c:v>0.95020000000000004</c:v>
                </c:pt>
                <c:pt idx="2">
                  <c:v>0.94130000000000003</c:v>
                </c:pt>
                <c:pt idx="3">
                  <c:v>0.93659999999999999</c:v>
                </c:pt>
                <c:pt idx="4">
                  <c:v>0.92549999999999999</c:v>
                </c:pt>
                <c:pt idx="5">
                  <c:v>0.92449999999999999</c:v>
                </c:pt>
                <c:pt idx="6">
                  <c:v>0.90190000000000003</c:v>
                </c:pt>
                <c:pt idx="7">
                  <c:v>0.89900000000000002</c:v>
                </c:pt>
                <c:pt idx="8">
                  <c:v>0.89739999999999998</c:v>
                </c:pt>
                <c:pt idx="9">
                  <c:v>0.89370000000000005</c:v>
                </c:pt>
                <c:pt idx="10">
                  <c:v>0.89180000000000004</c:v>
                </c:pt>
                <c:pt idx="11">
                  <c:v>0.89149999999999996</c:v>
                </c:pt>
                <c:pt idx="12">
                  <c:v>0.88690000000000002</c:v>
                </c:pt>
                <c:pt idx="13">
                  <c:v>0.88660000000000005</c:v>
                </c:pt>
                <c:pt idx="14">
                  <c:v>0.88619999999999999</c:v>
                </c:pt>
                <c:pt idx="15">
                  <c:v>0.8861</c:v>
                </c:pt>
                <c:pt idx="16">
                  <c:v>0.88419999999999999</c:v>
                </c:pt>
                <c:pt idx="17">
                  <c:v>0.87280000000000468</c:v>
                </c:pt>
                <c:pt idx="18">
                  <c:v>0.86770000000000524</c:v>
                </c:pt>
                <c:pt idx="19">
                  <c:v>0.86150000000000004</c:v>
                </c:pt>
                <c:pt idx="20">
                  <c:v>0.86120000000000063</c:v>
                </c:pt>
              </c:numCache>
            </c:numRef>
          </c:val>
        </c:ser>
        <c:marker val="1"/>
        <c:axId val="93003776"/>
        <c:axId val="93005312"/>
      </c:lineChart>
      <c:catAx>
        <c:axId val="93003776"/>
        <c:scaling>
          <c:orientation val="minMax"/>
        </c:scaling>
        <c:axPos val="b"/>
        <c:tickLblPos val="nextTo"/>
        <c:crossAx val="93005312"/>
        <c:crosses val="autoZero"/>
        <c:auto val="1"/>
        <c:lblAlgn val="ctr"/>
        <c:lblOffset val="100"/>
      </c:catAx>
      <c:valAx>
        <c:axId val="93005312"/>
        <c:scaling>
          <c:orientation val="minMax"/>
        </c:scaling>
        <c:axPos val="l"/>
        <c:numFmt formatCode="General" sourceLinked="1"/>
        <c:tickLblPos val="nextTo"/>
        <c:crossAx val="93003776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K</a:t>
            </a:r>
            <a:r>
              <a:rPr lang="ru-RU"/>
              <a:t> </a:t>
            </a:r>
            <a:r>
              <a:rPr lang="en-US"/>
              <a:t>ln</a:t>
            </a:r>
            <a:r>
              <a:rPr lang="ru-RU"/>
              <a:t> </a:t>
            </a:r>
            <a:r>
              <a:rPr lang="ru-RU" sz="1080" b="1" i="1" u="sng" strike="noStrike" baseline="0"/>
              <a:t>1-F(h)</a:t>
            </a:r>
            <a:r>
              <a:rPr lang="ru-RU" sz="1080" b="1" i="0" u="none" strike="noStrike" baseline="0"/>
              <a:t> </a:t>
            </a:r>
            <a:endParaRPr lang="en-US"/>
          </a:p>
        </c:rich>
      </c:tx>
    </c:title>
    <c:plotArea>
      <c:layout>
        <c:manualLayout>
          <c:layoutTarget val="inner"/>
          <c:xMode val="edge"/>
          <c:yMode val="edge"/>
          <c:x val="7.1567775032931533E-2"/>
          <c:y val="0.17005928087175001"/>
          <c:w val="0.90491538905044266"/>
          <c:h val="0.73921146790639969"/>
        </c:manualLayout>
      </c:layout>
      <c:lineChart>
        <c:grouping val="standard"/>
        <c:ser>
          <c:idx val="0"/>
          <c:order val="0"/>
          <c:tx>
            <c:strRef>
              <c:f>Лист6!$I$205</c:f>
              <c:strCache>
                <c:ptCount val="1"/>
                <c:pt idx="0">
                  <c:v>Kln1-F(h)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6476965873653836"/>
                  <c:y val="0.10711959082037809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63506163279563432"/>
                  <c:y val="-0.1450615788411064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8474629340493365"/>
                  <c:y val="-0.204247257554344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26112256277960233"/>
                  <c:y val="-0.1581529647058378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20127213120273391"/>
                  <c:y val="4.5297927534668934E-3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3.7488226852455842E-2"/>
                  <c:y val="-0.16183696908804335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y = 0,9957x0,971</a:t>
                    </a:r>
                    <a:r>
                      <a:rPr lang="ru-RU"/>
                      <a:t>0</a:t>
                    </a:r>
                    <a:r>
                      <a:rPr lang="en-US"/>
                      <a:t>
R² = 1</a:t>
                    </a:r>
                  </a:p>
                </c:rich>
              </c:tx>
              <c:numFmt formatCode="General" sourceLinked="0"/>
            </c:trendlineLbl>
          </c:trendline>
          <c:val>
            <c:numRef>
              <c:f>Лист6!$I$206:$I$231</c:f>
              <c:numCache>
                <c:formatCode>General</c:formatCode>
                <c:ptCount val="26"/>
                <c:pt idx="0">
                  <c:v>0.97770000000000457</c:v>
                </c:pt>
                <c:pt idx="1">
                  <c:v>1.9516</c:v>
                </c:pt>
                <c:pt idx="2">
                  <c:v>2.9017999999999997</c:v>
                </c:pt>
                <c:pt idx="3">
                  <c:v>3.8431000000000002</c:v>
                </c:pt>
                <c:pt idx="4">
                  <c:v>4.7797000000000134</c:v>
                </c:pt>
                <c:pt idx="5">
                  <c:v>5.7051999999999996</c:v>
                </c:pt>
                <c:pt idx="6">
                  <c:v>6.6296999999999997</c:v>
                </c:pt>
                <c:pt idx="7">
                  <c:v>7.5468999999999999</c:v>
                </c:pt>
                <c:pt idx="8">
                  <c:v>8.4487999999999985</c:v>
                </c:pt>
                <c:pt idx="9">
                  <c:v>9.3478000000000012</c:v>
                </c:pt>
                <c:pt idx="10">
                  <c:v>10.245200000000001</c:v>
                </c:pt>
                <c:pt idx="11">
                  <c:v>11.138899999999998</c:v>
                </c:pt>
                <c:pt idx="12">
                  <c:v>12.0307</c:v>
                </c:pt>
                <c:pt idx="13">
                  <c:v>12.9222</c:v>
                </c:pt>
                <c:pt idx="14">
                  <c:v>13.809100000000004</c:v>
                </c:pt>
                <c:pt idx="15">
                  <c:v>14.6957</c:v>
                </c:pt>
                <c:pt idx="16">
                  <c:v>15.581900000000001</c:v>
                </c:pt>
                <c:pt idx="17">
                  <c:v>16.467999999999989</c:v>
                </c:pt>
                <c:pt idx="18">
                  <c:v>17.3522</c:v>
                </c:pt>
                <c:pt idx="19">
                  <c:v>18.224999999999987</c:v>
                </c:pt>
                <c:pt idx="20">
                  <c:v>19.095000000000002</c:v>
                </c:pt>
                <c:pt idx="21">
                  <c:v>19.962699999999725</c:v>
                </c:pt>
                <c:pt idx="22">
                  <c:v>20.830200000000001</c:v>
                </c:pt>
                <c:pt idx="23">
                  <c:v>21.692500000000003</c:v>
                </c:pt>
                <c:pt idx="24">
                  <c:v>22.55400000000003</c:v>
                </c:pt>
                <c:pt idx="25">
                  <c:v>23.415200000000002</c:v>
                </c:pt>
              </c:numCache>
            </c:numRef>
          </c:val>
        </c:ser>
        <c:marker val="1"/>
        <c:axId val="93045888"/>
        <c:axId val="93047424"/>
      </c:lineChart>
      <c:catAx>
        <c:axId val="93045888"/>
        <c:scaling>
          <c:orientation val="minMax"/>
        </c:scaling>
        <c:axPos val="b"/>
        <c:tickLblPos val="nextTo"/>
        <c:crossAx val="93047424"/>
        <c:crosses val="autoZero"/>
        <c:auto val="1"/>
        <c:lblAlgn val="ctr"/>
        <c:lblOffset val="100"/>
      </c:catAx>
      <c:valAx>
        <c:axId val="93047424"/>
        <c:scaling>
          <c:orientation val="minMax"/>
        </c:scaling>
        <c:axPos val="l"/>
        <c:numFmt formatCode="General" sourceLinked="1"/>
        <c:tickLblPos val="nextTo"/>
        <c:crossAx val="93045888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en-US"/>
              <a:t>ln </a:t>
            </a:r>
            <a:r>
              <a:rPr lang="ru-RU"/>
              <a:t>К </a:t>
            </a:r>
            <a:r>
              <a:rPr lang="ru-RU" sz="1080" b="1" i="1" u="sng" strike="noStrike" baseline="0"/>
              <a:t>1-F(h)</a:t>
            </a:r>
            <a:r>
              <a:rPr lang="ru-RU" sz="1080" b="1" i="0" u="none" strike="noStrike" baseline="0"/>
              <a:t> </a:t>
            </a:r>
            <a:endParaRPr lang="en-US" i="1"/>
          </a:p>
        </c:rich>
      </c:tx>
    </c:title>
    <c:plotArea>
      <c:layout>
        <c:manualLayout>
          <c:layoutTarget val="inner"/>
          <c:xMode val="edge"/>
          <c:yMode val="edge"/>
          <c:x val="6.2700964630225134E-2"/>
          <c:y val="0.27063570760427758"/>
          <c:w val="0.90973817179604854"/>
          <c:h val="0.57424781669508707"/>
        </c:manualLayout>
      </c:layout>
      <c:lineChart>
        <c:grouping val="standard"/>
        <c:ser>
          <c:idx val="0"/>
          <c:order val="0"/>
          <c:tx>
            <c:strRef>
              <c:f>Лист6!$K$107</c:f>
              <c:strCache>
                <c:ptCount val="1"/>
                <c:pt idx="0">
                  <c:v>ln k1-F(h)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9214298373474905"/>
                  <c:y val="-0.24671927625873674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0084762314678511"/>
                  <c:y val="-0.25867742837584801"/>
                </c:manualLayout>
              </c:layout>
              <c:numFmt formatCode="General" sourceLinked="0"/>
            </c:trendlineLbl>
          </c:trendline>
          <c:trendline>
            <c:trendlineType val="linear"/>
          </c:trendline>
          <c:val>
            <c:numRef>
              <c:f>Лист6!$K$108:$K$128</c:f>
              <c:numCache>
                <c:formatCode>General</c:formatCode>
                <c:ptCount val="21"/>
                <c:pt idx="0">
                  <c:v>-2.6446650014983596E-2</c:v>
                </c:pt>
                <c:pt idx="1">
                  <c:v>0.65445832594483366</c:v>
                </c:pt>
                <c:pt idx="2">
                  <c:v>1.0527079564771349</c:v>
                </c:pt>
                <c:pt idx="3">
                  <c:v>1.335527244066238</c:v>
                </c:pt>
                <c:pt idx="4">
                  <c:v>1.5533965215504755</c:v>
                </c:pt>
                <c:pt idx="5">
                  <c:v>1.7320094648222821</c:v>
                </c:pt>
                <c:pt idx="6">
                  <c:v>1.8800602923024148</c:v>
                </c:pt>
                <c:pt idx="7">
                  <c:v>2.0086032183937372</c:v>
                </c:pt>
                <c:pt idx="8">
                  <c:v>2.1222974663610792</c:v>
                </c:pt>
                <c:pt idx="9">
                  <c:v>2.2239746924121619</c:v>
                </c:pt>
                <c:pt idx="10">
                  <c:v>2.3160737111745977</c:v>
                </c:pt>
                <c:pt idx="11">
                  <c:v>2.4003740163555012</c:v>
                </c:pt>
                <c:pt idx="12">
                  <c:v>2.4777309660389051</c:v>
                </c:pt>
                <c:pt idx="13">
                  <c:v>2.5495076689725606</c:v>
                </c:pt>
                <c:pt idx="14">
                  <c:v>2.6164464772291049</c:v>
                </c:pt>
                <c:pt idx="15">
                  <c:v>2.6791773635330944</c:v>
                </c:pt>
                <c:pt idx="16">
                  <c:v>2.7380813836639861</c:v>
                </c:pt>
                <c:pt idx="17">
                  <c:v>2.7930100306623591</c:v>
                </c:pt>
                <c:pt idx="18">
                  <c:v>2.8447814686618691</c:v>
                </c:pt>
                <c:pt idx="19">
                  <c:v>2.8936607875477409</c:v>
                </c:pt>
                <c:pt idx="20">
                  <c:v>2.9402459903358302</c:v>
                </c:pt>
              </c:numCache>
            </c:numRef>
          </c:val>
        </c:ser>
        <c:marker val="1"/>
        <c:axId val="93106944"/>
        <c:axId val="93108480"/>
      </c:lineChart>
      <c:catAx>
        <c:axId val="93106944"/>
        <c:scaling>
          <c:orientation val="minMax"/>
        </c:scaling>
        <c:axPos val="b"/>
        <c:tickLblPos val="nextTo"/>
        <c:crossAx val="93108480"/>
        <c:crosses val="autoZero"/>
        <c:auto val="1"/>
        <c:lblAlgn val="ctr"/>
        <c:lblOffset val="100"/>
      </c:catAx>
      <c:valAx>
        <c:axId val="93108480"/>
        <c:scaling>
          <c:orientation val="minMax"/>
        </c:scaling>
        <c:axPos val="l"/>
        <c:numFmt formatCode="General" sourceLinked="1"/>
        <c:tickLblPos val="nextTo"/>
        <c:crossAx val="9310694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800"/>
            </a:pPr>
            <a:r>
              <a:rPr lang="en-US" sz="800"/>
              <a:t>KN(F=1)/N </a:t>
            </a:r>
            <a:r>
              <a:rPr lang="ru-RU" sz="800"/>
              <a:t>стихов</a:t>
            </a:r>
          </a:p>
        </c:rich>
      </c:tx>
    </c:title>
    <c:plotArea>
      <c:layout>
        <c:manualLayout>
          <c:layoutTarget val="inner"/>
          <c:xMode val="edge"/>
          <c:yMode val="edge"/>
          <c:x val="9.8571741032371027E-2"/>
          <c:y val="0.10729511957858592"/>
          <c:w val="0.87087270341208145"/>
          <c:h val="0.84447625864949194"/>
        </c:manualLayout>
      </c:layout>
      <c:lineChart>
        <c:grouping val="standard"/>
        <c:ser>
          <c:idx val="0"/>
          <c:order val="0"/>
          <c:tx>
            <c:strRef>
              <c:f>Лист4!$X$537</c:f>
              <c:strCache>
                <c:ptCount val="1"/>
                <c:pt idx="0">
                  <c:v>KN(F=1)/N Предл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32450240594926516"/>
                  <c:y val="4.5929923095277426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4,8204x + 19,89
R² = 0,97</a:t>
                    </a:r>
                    <a:r>
                      <a:rPr lang="ru-RU" baseline="0"/>
                      <a:t>00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0458573928258963"/>
                  <c:y val="-0.12594313822660291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528517060367456"/>
                  <c:y val="3.6100538913612749E-2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baseline="0"/>
                      <a:t>y = 43,318ln(x) - 17,101
R² = 0,94</a:t>
                    </a:r>
                    <a:r>
                      <a:rPr lang="ru-RU" baseline="0"/>
                      <a:t>00</a:t>
                    </a:r>
                    <a:endParaRPr lang="en-US"/>
                  </a:p>
                </c:rich>
              </c:tx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1421281714786318"/>
                  <c:y val="0.27405096514834887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6.1803149606299207E-2"/>
                  <c:y val="0.25237376796432165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9.4849737532808384E-2"/>
                  <c:y val="-0.12594313822660291"/>
                </c:manualLayout>
              </c:layout>
              <c:numFmt formatCode="General" sourceLinked="0"/>
            </c:trendlineLbl>
          </c:trendline>
          <c:val>
            <c:numRef>
              <c:f>Лист4!$X$538:$X$563</c:f>
              <c:numCache>
                <c:formatCode>General</c:formatCode>
                <c:ptCount val="26"/>
                <c:pt idx="0">
                  <c:v>10.48</c:v>
                </c:pt>
                <c:pt idx="1">
                  <c:v>19.556923076922889</c:v>
                </c:pt>
                <c:pt idx="2">
                  <c:v>28.114300126103679</c:v>
                </c:pt>
                <c:pt idx="3">
                  <c:v>35.84763345943577</c:v>
                </c:pt>
                <c:pt idx="4">
                  <c:v>43.108503024654162</c:v>
                </c:pt>
                <c:pt idx="5">
                  <c:v>49.448928556569022</c:v>
                </c:pt>
                <c:pt idx="6">
                  <c:v>55.774229761387843</c:v>
                </c:pt>
                <c:pt idx="7">
                  <c:v>61.802007539165999</c:v>
                </c:pt>
                <c:pt idx="8">
                  <c:v>67.757759751555454</c:v>
                </c:pt>
                <c:pt idx="9">
                  <c:v>73.472045465841163</c:v>
                </c:pt>
                <c:pt idx="10">
                  <c:v>78.952045465841167</c:v>
                </c:pt>
                <c:pt idx="11">
                  <c:v>84.309940202682085</c:v>
                </c:pt>
                <c:pt idx="12">
                  <c:v>89.271478664221718</c:v>
                </c:pt>
                <c:pt idx="13">
                  <c:v>93.934400012536258</c:v>
                </c:pt>
                <c:pt idx="14">
                  <c:v>98.297436316165758</c:v>
                </c:pt>
                <c:pt idx="15">
                  <c:v>102.61958396717372</c:v>
                </c:pt>
                <c:pt idx="16">
                  <c:v>106.90990654781859</c:v>
                </c:pt>
                <c:pt idx="17">
                  <c:v>111.14520066546569</c:v>
                </c:pt>
                <c:pt idx="18">
                  <c:v>115.09678916773407</c:v>
                </c:pt>
                <c:pt idx="19">
                  <c:v>118.40625798990742</c:v>
                </c:pt>
                <c:pt idx="20">
                  <c:v>121.55957606770905</c:v>
                </c:pt>
                <c:pt idx="21">
                  <c:v>124.43432755876272</c:v>
                </c:pt>
                <c:pt idx="22">
                  <c:v>126.920041844477</c:v>
                </c:pt>
                <c:pt idx="23">
                  <c:v>129.3657347283704</c:v>
                </c:pt>
                <c:pt idx="24">
                  <c:v>131.13479047353698</c:v>
                </c:pt>
                <c:pt idx="25">
                  <c:v>131.37699047353709</c:v>
                </c:pt>
              </c:numCache>
            </c:numRef>
          </c:val>
        </c:ser>
        <c:marker val="1"/>
        <c:axId val="91965312"/>
        <c:axId val="91966848"/>
      </c:lineChart>
      <c:catAx>
        <c:axId val="91965312"/>
        <c:scaling>
          <c:orientation val="minMax"/>
        </c:scaling>
        <c:axPos val="b"/>
        <c:tickLblPos val="nextTo"/>
        <c:crossAx val="91966848"/>
        <c:crosses val="autoZero"/>
        <c:auto val="1"/>
        <c:lblAlgn val="ctr"/>
        <c:lblOffset val="100"/>
      </c:catAx>
      <c:valAx>
        <c:axId val="91966848"/>
        <c:scaling>
          <c:orientation val="minMax"/>
        </c:scaling>
        <c:axPos val="l"/>
        <c:numFmt formatCode="General" sourceLinked="1"/>
        <c:tickLblPos val="nextTo"/>
        <c:crossAx val="91965312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KN</a:t>
            </a:r>
            <a:r>
              <a:rPr lang="en-US"/>
              <a:t>, </a:t>
            </a:r>
            <a:r>
              <a:rPr lang="ru-RU"/>
              <a:t>KN(F=1)</a:t>
            </a:r>
          </a:p>
        </c:rich>
      </c:tx>
      <c:layout>
        <c:manualLayout>
          <c:xMode val="edge"/>
          <c:yMode val="edge"/>
          <c:x val="0.52002659742358626"/>
          <c:y val="2.5276461295418627E-2"/>
        </c:manualLayout>
      </c:layout>
      <c:overlay val="1"/>
    </c:title>
    <c:plotArea>
      <c:layout>
        <c:manualLayout>
          <c:layoutTarget val="inner"/>
          <c:xMode val="edge"/>
          <c:yMode val="edge"/>
          <c:x val="0.10408649212808847"/>
          <c:y val="4.4957294007314616E-2"/>
          <c:w val="0.89366737228396953"/>
          <c:h val="0.86399081118911569"/>
        </c:manualLayout>
      </c:layout>
      <c:lineChart>
        <c:grouping val="standard"/>
        <c:ser>
          <c:idx val="0"/>
          <c:order val="0"/>
          <c:tx>
            <c:strRef>
              <c:f>Лист4!$E$232</c:f>
              <c:strCache>
                <c:ptCount val="1"/>
                <c:pt idx="0">
                  <c:v>KN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64111372502809161"/>
                  <c:y val="-4.2953564453732433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45336385864647727"/>
                  <c:y val="6.9915786593026594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48253550882302193"/>
                  <c:y val="-2.9790896990956668E-2"/>
                </c:manualLayout>
              </c:layout>
              <c:numFmt formatCode="General" sourceLinked="0"/>
            </c:trendlineLbl>
          </c:trendline>
          <c:trendline>
            <c:trendlineType val="linear"/>
          </c:trendline>
          <c:trendline>
            <c:trendlineType val="poly"/>
            <c:order val="3"/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4.4060820564185317E-3"/>
                  <c:y val="-0.13681133460213249"/>
                </c:manualLayout>
              </c:layout>
              <c:numFmt formatCode="General" sourceLinked="0"/>
            </c:trendlineLbl>
          </c:trendline>
          <c:val>
            <c:numRef>
              <c:f>Лист4!$E$233:$E$253</c:f>
              <c:numCache>
                <c:formatCode>General</c:formatCode>
                <c:ptCount val="21"/>
                <c:pt idx="0">
                  <c:v>11425</c:v>
                </c:pt>
                <c:pt idx="1">
                  <c:v>18166</c:v>
                </c:pt>
                <c:pt idx="2">
                  <c:v>24821</c:v>
                </c:pt>
                <c:pt idx="3">
                  <c:v>29636</c:v>
                </c:pt>
                <c:pt idx="4">
                  <c:v>34144</c:v>
                </c:pt>
                <c:pt idx="5">
                  <c:v>36340</c:v>
                </c:pt>
                <c:pt idx="6">
                  <c:v>38458</c:v>
                </c:pt>
                <c:pt idx="7">
                  <c:v>40427</c:v>
                </c:pt>
                <c:pt idx="8">
                  <c:v>42120</c:v>
                </c:pt>
                <c:pt idx="9">
                  <c:v>43801</c:v>
                </c:pt>
                <c:pt idx="10">
                  <c:v>45447</c:v>
                </c:pt>
                <c:pt idx="11">
                  <c:v>47051</c:v>
                </c:pt>
                <c:pt idx="12">
                  <c:v>48498</c:v>
                </c:pt>
                <c:pt idx="13">
                  <c:v>49674</c:v>
                </c:pt>
                <c:pt idx="14">
                  <c:v>50751</c:v>
                </c:pt>
                <c:pt idx="15">
                  <c:v>51520</c:v>
                </c:pt>
                <c:pt idx="16">
                  <c:v>52188</c:v>
                </c:pt>
                <c:pt idx="17">
                  <c:v>52625</c:v>
                </c:pt>
                <c:pt idx="18">
                  <c:v>52963</c:v>
                </c:pt>
                <c:pt idx="19">
                  <c:v>53193</c:v>
                </c:pt>
                <c:pt idx="20">
                  <c:v>53407</c:v>
                </c:pt>
              </c:numCache>
            </c:numRef>
          </c:val>
        </c:ser>
        <c:ser>
          <c:idx val="1"/>
          <c:order val="1"/>
          <c:tx>
            <c:strRef>
              <c:f>Лист4!$G$232</c:f>
              <c:strCache>
                <c:ptCount val="1"/>
                <c:pt idx="0">
                  <c:v>KN(F=1)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14672569723546741"/>
                  <c:y val="-0.30277618141334284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3.4076013079872292E-2"/>
                  <c:y val="-5.2971103730517076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0813662322140261"/>
                  <c:y val="3.1759774104066422E-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6.587053956577181E-2"/>
                  <c:y val="-0.18824644549763114"/>
                </c:manualLayout>
              </c:layout>
              <c:numFmt formatCode="General" sourceLinked="0"/>
            </c:trendlineLbl>
          </c:trendline>
          <c:val>
            <c:numRef>
              <c:f>Лист4!$G$233:$G$253</c:f>
              <c:numCache>
                <c:formatCode>General</c:formatCode>
                <c:ptCount val="21"/>
                <c:pt idx="0">
                  <c:v>1433</c:v>
                </c:pt>
                <c:pt idx="1">
                  <c:v>2811</c:v>
                </c:pt>
                <c:pt idx="2">
                  <c:v>4133</c:v>
                </c:pt>
                <c:pt idx="3">
                  <c:v>5213</c:v>
                </c:pt>
                <c:pt idx="4">
                  <c:v>5886</c:v>
                </c:pt>
                <c:pt idx="5">
                  <c:v>6551</c:v>
                </c:pt>
                <c:pt idx="6">
                  <c:v>7202</c:v>
                </c:pt>
                <c:pt idx="7">
                  <c:v>7846</c:v>
                </c:pt>
                <c:pt idx="8">
                  <c:v>8446</c:v>
                </c:pt>
                <c:pt idx="9">
                  <c:v>8971</c:v>
                </c:pt>
                <c:pt idx="10">
                  <c:v>9493</c:v>
                </c:pt>
                <c:pt idx="11">
                  <c:v>10009</c:v>
                </c:pt>
                <c:pt idx="12">
                  <c:v>10518</c:v>
                </c:pt>
                <c:pt idx="13">
                  <c:v>10933</c:v>
                </c:pt>
                <c:pt idx="14">
                  <c:v>11267</c:v>
                </c:pt>
                <c:pt idx="15">
                  <c:v>11565</c:v>
                </c:pt>
                <c:pt idx="16">
                  <c:v>11827</c:v>
                </c:pt>
                <c:pt idx="17">
                  <c:v>12088</c:v>
                </c:pt>
                <c:pt idx="18">
                  <c:v>12225</c:v>
                </c:pt>
                <c:pt idx="19">
                  <c:v>12343</c:v>
                </c:pt>
                <c:pt idx="20">
                  <c:v>12459</c:v>
                </c:pt>
              </c:numCache>
            </c:numRef>
          </c:val>
        </c:ser>
        <c:marker val="1"/>
        <c:axId val="92004736"/>
        <c:axId val="92006272"/>
      </c:lineChart>
      <c:catAx>
        <c:axId val="92004736"/>
        <c:scaling>
          <c:orientation val="minMax"/>
        </c:scaling>
        <c:axPos val="b"/>
        <c:tickLblPos val="nextTo"/>
        <c:crossAx val="92006272"/>
        <c:crosses val="autoZero"/>
        <c:auto val="1"/>
        <c:lblAlgn val="ctr"/>
        <c:lblOffset val="100"/>
      </c:catAx>
      <c:valAx>
        <c:axId val="92006272"/>
        <c:scaling>
          <c:orientation val="minMax"/>
        </c:scaling>
        <c:axPos val="l"/>
        <c:numFmt formatCode="General" sourceLinked="1"/>
        <c:tickLblPos val="nextTo"/>
        <c:crossAx val="92004736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>
        <c:manualLayout>
          <c:layoutTarget val="inner"/>
          <c:xMode val="edge"/>
          <c:yMode val="edge"/>
          <c:x val="9.4196850393701473E-2"/>
          <c:y val="0.14494240303295564"/>
          <c:w val="0.87802537182852536"/>
          <c:h val="0.70005358705161858"/>
        </c:manualLayout>
      </c:layout>
      <c:lineChart>
        <c:grouping val="standard"/>
        <c:ser>
          <c:idx val="0"/>
          <c:order val="0"/>
          <c:tx>
            <c:strRef>
              <c:f>Лист2!$P$227</c:f>
              <c:strCache>
                <c:ptCount val="1"/>
                <c:pt idx="0">
                  <c:v> N(F=1)/N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9.5029308836395543E-2"/>
                  <c:y val="-0.65618519685039622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8166841644794398"/>
                  <c:y val="-0.48512649460484469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2616841644794399"/>
                  <c:y val="-0.28913203557888595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7.6373578302712164E-3"/>
                  <c:y val="-0.36161636045494616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0258486439195058"/>
                  <c:y val="-0.596740303295421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8.8793307086614245E-2"/>
                  <c:y val="-0.49998278215223352"/>
                </c:manualLayout>
              </c:layout>
              <c:numFmt formatCode="General" sourceLinked="0"/>
            </c:trendlineLbl>
          </c:trendline>
          <c:val>
            <c:numRef>
              <c:f>Лист2!$P$228:$P$255</c:f>
              <c:numCache>
                <c:formatCode>General</c:formatCode>
                <c:ptCount val="28"/>
                <c:pt idx="0">
                  <c:v>0.62650853100291259</c:v>
                </c:pt>
                <c:pt idx="1">
                  <c:v>0.61874197689345833</c:v>
                </c:pt>
                <c:pt idx="2">
                  <c:v>0.61582641991065734</c:v>
                </c:pt>
                <c:pt idx="3">
                  <c:v>0.6020290523403321</c:v>
                </c:pt>
                <c:pt idx="4">
                  <c:v>0.59954233409610957</c:v>
                </c:pt>
                <c:pt idx="5">
                  <c:v>0.54507190459488308</c:v>
                </c:pt>
                <c:pt idx="6">
                  <c:v>0.54205607476635242</c:v>
                </c:pt>
                <c:pt idx="7">
                  <c:v>0.53104434907010012</c:v>
                </c:pt>
                <c:pt idx="8">
                  <c:v>0.5130434782608696</c:v>
                </c:pt>
                <c:pt idx="9">
                  <c:v>0.5</c:v>
                </c:pt>
                <c:pt idx="10">
                  <c:v>0.4846796657381629</c:v>
                </c:pt>
                <c:pt idx="11">
                  <c:v>0.44642857142857273</c:v>
                </c:pt>
                <c:pt idx="12">
                  <c:v>0.40886998784933376</c:v>
                </c:pt>
                <c:pt idx="13">
                  <c:v>0.40532544378698232</c:v>
                </c:pt>
                <c:pt idx="14">
                  <c:v>0.38984051978736239</c:v>
                </c:pt>
                <c:pt idx="15">
                  <c:v>0.38751625487646446</c:v>
                </c:pt>
                <c:pt idx="16">
                  <c:v>0.38497930218805654</c:v>
                </c:pt>
                <c:pt idx="17">
                  <c:v>0.35176226675881261</c:v>
                </c:pt>
                <c:pt idx="18">
                  <c:v>0.3216957605985038</c:v>
                </c:pt>
                <c:pt idx="19">
                  <c:v>0.31397544853635506</c:v>
                </c:pt>
                <c:pt idx="20">
                  <c:v>0.29326047358834373</c:v>
                </c:pt>
                <c:pt idx="21">
                  <c:v>0.2745586708203544</c:v>
                </c:pt>
                <c:pt idx="22">
                  <c:v>0.23957409050576794</c:v>
                </c:pt>
                <c:pt idx="23">
                  <c:v>0.2153268219383922</c:v>
                </c:pt>
                <c:pt idx="24">
                  <c:v>0.2044207090936063</c:v>
                </c:pt>
                <c:pt idx="25">
                  <c:v>0.16455401790905852</c:v>
                </c:pt>
                <c:pt idx="26">
                  <c:v>0.13255459624174687</c:v>
                </c:pt>
                <c:pt idx="27">
                  <c:v>3.6323851203501088E-2</c:v>
                </c:pt>
              </c:numCache>
            </c:numRef>
          </c:val>
        </c:ser>
        <c:marker val="1"/>
        <c:axId val="92034176"/>
        <c:axId val="92035712"/>
      </c:lineChart>
      <c:catAx>
        <c:axId val="92034176"/>
        <c:scaling>
          <c:orientation val="minMax"/>
        </c:scaling>
        <c:axPos val="b"/>
        <c:tickLblPos val="nextTo"/>
        <c:crossAx val="92035712"/>
        <c:crosses val="autoZero"/>
        <c:auto val="1"/>
        <c:lblAlgn val="ctr"/>
        <c:lblOffset val="100"/>
      </c:catAx>
      <c:valAx>
        <c:axId val="92035712"/>
        <c:scaling>
          <c:orientation val="minMax"/>
        </c:scaling>
        <c:axPos val="l"/>
        <c:numFmt formatCode="General" sourceLinked="1"/>
        <c:tickLblPos val="nextTo"/>
        <c:crossAx val="92034176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900"/>
            </a:pPr>
            <a:r>
              <a:rPr lang="en-US" sz="900"/>
              <a:t>K N(F=1)/N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Лист2!$Q$227</c:f>
              <c:strCache>
                <c:ptCount val="1"/>
                <c:pt idx="0">
                  <c:v> k N(F=1)/N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7228630796150459"/>
                  <c:y val="6.3217410323709533E-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0813861105199712"/>
                  <c:y val="-5.6474263031170702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1764323378496602"/>
                  <c:y val="-0.15822216437821304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7816864108202659"/>
                  <c:y val="-0.12311316457343698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9685914260717411E-2"/>
                  <c:y val="0.2747976815398078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4115674729847958"/>
                  <c:y val="-0.18602589965510521"/>
                </c:manualLayout>
              </c:layout>
              <c:numFmt formatCode="General" sourceLinked="0"/>
            </c:trendlineLbl>
          </c:trendline>
          <c:val>
            <c:numRef>
              <c:f>Лист2!$Q$228:$Q$255</c:f>
              <c:numCache>
                <c:formatCode>General</c:formatCode>
                <c:ptCount val="28"/>
                <c:pt idx="0">
                  <c:v>0.62651000000000001</c:v>
                </c:pt>
                <c:pt idx="1">
                  <c:v>1.2452519768934531</c:v>
                </c:pt>
                <c:pt idx="2">
                  <c:v>1.8610783968041098</c:v>
                </c:pt>
                <c:pt idx="3">
                  <c:v>2.4631074491444402</c:v>
                </c:pt>
                <c:pt idx="4">
                  <c:v>3.0626497832405386</c:v>
                </c:pt>
                <c:pt idx="5">
                  <c:v>3.6077216878354466</c:v>
                </c:pt>
                <c:pt idx="6">
                  <c:v>4.149777762601782</c:v>
                </c:pt>
                <c:pt idx="7">
                  <c:v>4.6808221116718824</c:v>
                </c:pt>
                <c:pt idx="8">
                  <c:v>5.1938655899327495</c:v>
                </c:pt>
                <c:pt idx="9">
                  <c:v>5.6938655899327495</c:v>
                </c:pt>
                <c:pt idx="10">
                  <c:v>6.1785452556709055</c:v>
                </c:pt>
                <c:pt idx="11">
                  <c:v>6.6249738270994385</c:v>
                </c:pt>
                <c:pt idx="12">
                  <c:v>7.03384381494884</c:v>
                </c:pt>
                <c:pt idx="13">
                  <c:v>7.4391692587357987</c:v>
                </c:pt>
                <c:pt idx="14">
                  <c:v>7.829009778523158</c:v>
                </c:pt>
                <c:pt idx="15">
                  <c:v>8.2165260333996208</c:v>
                </c:pt>
                <c:pt idx="16">
                  <c:v>8.6015053355876745</c:v>
                </c:pt>
                <c:pt idx="17">
                  <c:v>8.9532676023464877</c:v>
                </c:pt>
                <c:pt idx="18">
                  <c:v>9.2749633629449839</c:v>
                </c:pt>
                <c:pt idx="19">
                  <c:v>9.5889388114813467</c:v>
                </c:pt>
                <c:pt idx="20">
                  <c:v>9.8821992850697526</c:v>
                </c:pt>
                <c:pt idx="21">
                  <c:v>10.15675795589005</c:v>
                </c:pt>
                <c:pt idx="22">
                  <c:v>10.396332046395807</c:v>
                </c:pt>
                <c:pt idx="23">
                  <c:v>10.611658868334198</c:v>
                </c:pt>
                <c:pt idx="24">
                  <c:v>10.816079577427848</c:v>
                </c:pt>
                <c:pt idx="25">
                  <c:v>10.980633595336872</c:v>
                </c:pt>
                <c:pt idx="26">
                  <c:v>11.113188191578612</c:v>
                </c:pt>
                <c:pt idx="27">
                  <c:v>11.149512042782113</c:v>
                </c:pt>
              </c:numCache>
            </c:numRef>
          </c:val>
        </c:ser>
        <c:marker val="1"/>
        <c:axId val="92068480"/>
        <c:axId val="92070272"/>
      </c:lineChart>
      <c:catAx>
        <c:axId val="92068480"/>
        <c:scaling>
          <c:orientation val="minMax"/>
        </c:scaling>
        <c:axPos val="b"/>
        <c:tickLblPos val="nextTo"/>
        <c:crossAx val="92070272"/>
        <c:crosses val="autoZero"/>
        <c:auto val="1"/>
        <c:lblAlgn val="ctr"/>
        <c:lblOffset val="100"/>
      </c:catAx>
      <c:valAx>
        <c:axId val="92070272"/>
        <c:scaling>
          <c:orientation val="minMax"/>
        </c:scaling>
        <c:axPos val="l"/>
        <c:numFmt formatCode="General" sourceLinked="1"/>
        <c:tickLblPos val="nextTo"/>
        <c:crossAx val="92068480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48195923753523418"/>
          <c:y val="1.7316017316017323E-2"/>
        </c:manualLayout>
      </c:layout>
    </c:title>
    <c:plotArea>
      <c:layout>
        <c:manualLayout>
          <c:layoutTarget val="inner"/>
          <c:xMode val="edge"/>
          <c:yMode val="edge"/>
          <c:x val="8.3606425352100264E-2"/>
          <c:y val="9.4776334776334792E-2"/>
          <c:w val="0.89667700040267662"/>
          <c:h val="0.63960550385747605"/>
        </c:manualLayout>
      </c:layout>
      <c:lineChart>
        <c:grouping val="standard"/>
        <c:ser>
          <c:idx val="0"/>
          <c:order val="0"/>
          <c:tx>
            <c:strRef>
              <c:f>Лист2!$Y$227</c:f>
              <c:strCache>
                <c:ptCount val="1"/>
                <c:pt idx="0">
                  <c:v> N(F=1)/V</c:v>
                </c:pt>
              </c:strCache>
            </c:strRef>
          </c:tx>
          <c:marker>
            <c:symbol val="none"/>
          </c:marker>
          <c:trendline>
            <c:trendlineType val="linear"/>
          </c:trendline>
          <c:trendline>
            <c:trendlineType val="linear"/>
            <c:dispRSqr val="1"/>
            <c:dispEq val="1"/>
            <c:trendlineLbl>
              <c:layout>
                <c:manualLayout>
                  <c:x val="-0.47450174978127735"/>
                  <c:y val="-0.47423556430446384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49521397625666641"/>
                  <c:y val="-0.23528831623319821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1612577078512225"/>
                  <c:y val="-0.4165211166785969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5066674429097481"/>
                  <c:y val="0.1040256331594915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2887139107611924E-2"/>
                  <c:y val="5.6249635462233875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17480741894324209"/>
                  <c:y val="-0.22248582563543193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</c:trendline>
          <c:val>
            <c:numRef>
              <c:f>Лист2!$Y$228:$Y$255</c:f>
              <c:numCache>
                <c:formatCode>General</c:formatCode>
                <c:ptCount val="28"/>
                <c:pt idx="0">
                  <c:v>1.6830631637786524</c:v>
                </c:pt>
                <c:pt idx="1">
                  <c:v>1.6228956228956228</c:v>
                </c:pt>
                <c:pt idx="2">
                  <c:v>1.6164154103852648</c:v>
                </c:pt>
                <c:pt idx="3">
                  <c:v>1.5127462340672073</c:v>
                </c:pt>
                <c:pt idx="4">
                  <c:v>1.1981495759444873</c:v>
                </c:pt>
                <c:pt idx="5">
                  <c:v>1.1322596388482244</c:v>
                </c:pt>
                <c:pt idx="6">
                  <c:v>0.83174603174603179</c:v>
                </c:pt>
                <c:pt idx="7">
                  <c:v>0.81181959564541262</c:v>
                </c:pt>
                <c:pt idx="8">
                  <c:v>0.80095923261391411</c:v>
                </c:pt>
                <c:pt idx="9">
                  <c:v>0.79545454545454541</c:v>
                </c:pt>
                <c:pt idx="10">
                  <c:v>0.7814569536423841</c:v>
                </c:pt>
                <c:pt idx="11">
                  <c:v>0.77852348993288589</c:v>
                </c:pt>
                <c:pt idx="12">
                  <c:v>0.7647727272727276</c:v>
                </c:pt>
                <c:pt idx="13">
                  <c:v>0.75962660443407815</c:v>
                </c:pt>
                <c:pt idx="14">
                  <c:v>0.75601374570446656</c:v>
                </c:pt>
                <c:pt idx="15">
                  <c:v>0.75062972292191465</c:v>
                </c:pt>
                <c:pt idx="16">
                  <c:v>0.73237410071942444</c:v>
                </c:pt>
                <c:pt idx="17">
                  <c:v>0.7206703910614527</c:v>
                </c:pt>
                <c:pt idx="18">
                  <c:v>0.70820021299254565</c:v>
                </c:pt>
                <c:pt idx="19">
                  <c:v>0.70305676855895149</c:v>
                </c:pt>
                <c:pt idx="20">
                  <c:v>0.69799366420274567</c:v>
                </c:pt>
                <c:pt idx="21">
                  <c:v>0.6963087248322114</c:v>
                </c:pt>
                <c:pt idx="22">
                  <c:v>0.69053708439897699</c:v>
                </c:pt>
                <c:pt idx="23">
                  <c:v>0.6884422110552767</c:v>
                </c:pt>
                <c:pt idx="24">
                  <c:v>0.66962616822430165</c:v>
                </c:pt>
                <c:pt idx="25">
                  <c:v>0.65964576352322246</c:v>
                </c:pt>
                <c:pt idx="26">
                  <c:v>0.59780312632023658</c:v>
                </c:pt>
                <c:pt idx="27">
                  <c:v>0.51581027667984514</c:v>
                </c:pt>
              </c:numCache>
            </c:numRef>
          </c:val>
        </c:ser>
        <c:marker val="1"/>
        <c:axId val="92125056"/>
        <c:axId val="92126592"/>
      </c:lineChart>
      <c:catAx>
        <c:axId val="92125056"/>
        <c:scaling>
          <c:orientation val="minMax"/>
        </c:scaling>
        <c:axPos val="b"/>
        <c:tickLblPos val="nextTo"/>
        <c:crossAx val="92126592"/>
        <c:crosses val="autoZero"/>
        <c:auto val="1"/>
        <c:lblAlgn val="ctr"/>
        <c:lblOffset val="100"/>
      </c:catAx>
      <c:valAx>
        <c:axId val="92126592"/>
        <c:scaling>
          <c:orientation val="minMax"/>
        </c:scaling>
        <c:axPos val="l"/>
        <c:numFmt formatCode="General" sourceLinked="1"/>
        <c:tickLblPos val="nextTo"/>
        <c:crossAx val="92125056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lineChart>
        <c:grouping val="standard"/>
        <c:ser>
          <c:idx val="0"/>
          <c:order val="0"/>
          <c:tx>
            <c:strRef>
              <c:f>Лист2!$Z$227</c:f>
              <c:strCache>
                <c:ptCount val="1"/>
                <c:pt idx="0">
                  <c:v> KN(F=1)/V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6578718285214347"/>
                  <c:y val="8.2556138815981367E-2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1099956255468757"/>
                  <c:y val="-8.0648148148148205E-2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55492607174103237"/>
                  <c:y val="-0.1034244677748614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12184273840769953"/>
                  <c:y val="-2.9021580635753871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1.6981627296588121E-2"/>
                  <c:y val="0.33436205890930576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9863451443569555"/>
                  <c:y val="-0.13726195683872849"/>
                </c:manualLayout>
              </c:layout>
              <c:numFmt formatCode="General" sourceLinked="0"/>
            </c:trendlineLbl>
          </c:trendline>
          <c:val>
            <c:numRef>
              <c:f>Лист2!$Z$228:$Z$255</c:f>
              <c:numCache>
                <c:formatCode>General</c:formatCode>
                <c:ptCount val="28"/>
                <c:pt idx="0">
                  <c:v>1.6831</c:v>
                </c:pt>
                <c:pt idx="1">
                  <c:v>3.3059956228956229</c:v>
                </c:pt>
                <c:pt idx="2">
                  <c:v>4.9224110332808815</c:v>
                </c:pt>
                <c:pt idx="3">
                  <c:v>6.4351572673480755</c:v>
                </c:pt>
                <c:pt idx="4">
                  <c:v>7.6333068432925772</c:v>
                </c:pt>
                <c:pt idx="5">
                  <c:v>8.7655664821407964</c:v>
                </c:pt>
                <c:pt idx="6">
                  <c:v>9.5973125138868287</c:v>
                </c:pt>
                <c:pt idx="7">
                  <c:v>10.409132109532274</c:v>
                </c:pt>
                <c:pt idx="8">
                  <c:v>11.210091342146148</c:v>
                </c:pt>
                <c:pt idx="9">
                  <c:v>12.005545887600739</c:v>
                </c:pt>
                <c:pt idx="10">
                  <c:v>12.78700284124308</c:v>
                </c:pt>
                <c:pt idx="11">
                  <c:v>13.565526331176025</c:v>
                </c:pt>
                <c:pt idx="12">
                  <c:v>14.330299058448738</c:v>
                </c:pt>
                <c:pt idx="13">
                  <c:v>15.089925662882765</c:v>
                </c:pt>
                <c:pt idx="14">
                  <c:v>15.845939408587288</c:v>
                </c:pt>
                <c:pt idx="15">
                  <c:v>16.596569131509089</c:v>
                </c:pt>
                <c:pt idx="16">
                  <c:v>17.328943232228529</c:v>
                </c:pt>
                <c:pt idx="17">
                  <c:v>18.049613623290025</c:v>
                </c:pt>
                <c:pt idx="18">
                  <c:v>18.75781383628259</c:v>
                </c:pt>
                <c:pt idx="19">
                  <c:v>19.460870604841521</c:v>
                </c:pt>
                <c:pt idx="20">
                  <c:v>20.158864269044361</c:v>
                </c:pt>
                <c:pt idx="21">
                  <c:v>20.85517299387649</c:v>
                </c:pt>
                <c:pt idx="22">
                  <c:v>21.545710078275317</c:v>
                </c:pt>
                <c:pt idx="23">
                  <c:v>22.234152289330726</c:v>
                </c:pt>
                <c:pt idx="24">
                  <c:v>22.903778457555028</c:v>
                </c:pt>
                <c:pt idx="25">
                  <c:v>23.563424221078229</c:v>
                </c:pt>
                <c:pt idx="26">
                  <c:v>24.161227347398491</c:v>
                </c:pt>
                <c:pt idx="27">
                  <c:v>24.677037624078331</c:v>
                </c:pt>
              </c:numCache>
            </c:numRef>
          </c:val>
        </c:ser>
        <c:marker val="1"/>
        <c:axId val="92216704"/>
        <c:axId val="92230784"/>
      </c:lineChart>
      <c:catAx>
        <c:axId val="92216704"/>
        <c:scaling>
          <c:orientation val="minMax"/>
        </c:scaling>
        <c:axPos val="b"/>
        <c:tickLblPos val="nextTo"/>
        <c:crossAx val="92230784"/>
        <c:crosses val="autoZero"/>
        <c:auto val="1"/>
        <c:lblAlgn val="ctr"/>
        <c:lblOffset val="100"/>
      </c:catAx>
      <c:valAx>
        <c:axId val="92230784"/>
        <c:scaling>
          <c:orientation val="minMax"/>
        </c:scaling>
        <c:axPos val="l"/>
        <c:numFmt formatCode="General" sourceLinked="1"/>
        <c:tickLblPos val="nextTo"/>
        <c:crossAx val="9221670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KV</a:t>
            </a:r>
            <a:r>
              <a:rPr lang="en-US"/>
              <a:t>, </a:t>
            </a:r>
            <a:r>
              <a:rPr lang="ru-RU"/>
              <a:t>KV(F=</a:t>
            </a:r>
            <a:r>
              <a:rPr lang="en-US"/>
              <a:t>1</a:t>
            </a:r>
            <a:r>
              <a:rPr lang="ru-RU"/>
              <a:t>)</a:t>
            </a:r>
          </a:p>
        </c:rich>
      </c:tx>
      <c:layout>
        <c:manualLayout>
          <c:xMode val="edge"/>
          <c:yMode val="edge"/>
          <c:x val="0.47040666603421716"/>
          <c:y val="2.3391812865497082E-2"/>
        </c:manualLayout>
      </c:layout>
      <c:overlay val="1"/>
    </c:title>
    <c:plotArea>
      <c:layout>
        <c:manualLayout>
          <c:layoutTarget val="inner"/>
          <c:xMode val="edge"/>
          <c:yMode val="edge"/>
          <c:x val="9.5954052430194267E-2"/>
          <c:y val="3.6017866187779773E-2"/>
          <c:w val="0.87842012502060429"/>
          <c:h val="0.80130020243820577"/>
        </c:manualLayout>
      </c:layout>
      <c:lineChart>
        <c:grouping val="standard"/>
        <c:ser>
          <c:idx val="0"/>
          <c:order val="0"/>
          <c:tx>
            <c:strRef>
              <c:f>Лист4!$M$232</c:f>
              <c:strCache>
                <c:ptCount val="1"/>
                <c:pt idx="0">
                  <c:v>KV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65517613762135163"/>
                  <c:y val="-2.4330800755168781E-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-0.27440312430825681"/>
                  <c:y val="4.1973753280839875E-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67883075609525023"/>
                  <c:y val="0.23898660035916591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67776665717990414"/>
                  <c:y val="-5.9409679053276702E-2"/>
                </c:manualLayout>
              </c:layout>
              <c:numFmt formatCode="General" sourceLinked="0"/>
            </c:trendlineLbl>
          </c:trendline>
          <c:trendline>
            <c:trendlineType val="linear"/>
          </c:trendline>
          <c:trendline>
            <c:trendlineType val="log"/>
            <c:dispRSqr val="1"/>
            <c:dispEq val="1"/>
            <c:trendlineLbl>
              <c:layout>
                <c:manualLayout>
                  <c:x val="-0.63587910697910299"/>
                  <c:y val="3.7861583091587235E-2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33165212029219238"/>
                  <c:y val="-8.3273748676152323E-2"/>
                </c:manualLayout>
              </c:layout>
              <c:numFmt formatCode="General" sourceLinked="0"/>
            </c:trendlineLbl>
          </c:trendline>
          <c:val>
            <c:numRef>
              <c:f>Лист4!$M$233:$M$253</c:f>
              <c:numCache>
                <c:formatCode>General</c:formatCode>
                <c:ptCount val="21"/>
                <c:pt idx="0">
                  <c:v>2140</c:v>
                </c:pt>
                <c:pt idx="1">
                  <c:v>4229</c:v>
                </c:pt>
                <c:pt idx="2">
                  <c:v>6123</c:v>
                </c:pt>
                <c:pt idx="3">
                  <c:v>7687</c:v>
                </c:pt>
                <c:pt idx="4">
                  <c:v>8626</c:v>
                </c:pt>
                <c:pt idx="5">
                  <c:v>9132</c:v>
                </c:pt>
                <c:pt idx="6">
                  <c:v>9789</c:v>
                </c:pt>
                <c:pt idx="7">
                  <c:v>10669</c:v>
                </c:pt>
                <c:pt idx="8">
                  <c:v>11385</c:v>
                </c:pt>
                <c:pt idx="9">
                  <c:v>12080</c:v>
                </c:pt>
                <c:pt idx="10">
                  <c:v>12676</c:v>
                </c:pt>
                <c:pt idx="11">
                  <c:v>13592</c:v>
                </c:pt>
                <c:pt idx="12">
                  <c:v>14465</c:v>
                </c:pt>
                <c:pt idx="13">
                  <c:v>15125</c:v>
                </c:pt>
                <c:pt idx="14">
                  <c:v>15768</c:v>
                </c:pt>
                <c:pt idx="15">
                  <c:v>16165</c:v>
                </c:pt>
                <c:pt idx="16">
                  <c:v>16582</c:v>
                </c:pt>
                <c:pt idx="17">
                  <c:v>16897</c:v>
                </c:pt>
                <c:pt idx="18">
                  <c:v>17096</c:v>
                </c:pt>
                <c:pt idx="19">
                  <c:v>17247</c:v>
                </c:pt>
                <c:pt idx="20">
                  <c:v>17396</c:v>
                </c:pt>
              </c:numCache>
            </c:numRef>
          </c:val>
        </c:ser>
        <c:ser>
          <c:idx val="1"/>
          <c:order val="1"/>
          <c:tx>
            <c:strRef>
              <c:f>Лист4!$N$232</c:f>
              <c:strCache>
                <c:ptCount val="1"/>
                <c:pt idx="0">
                  <c:v>KV(F=!)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38409180027195533"/>
                  <c:y val="0.35144633236634892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4.1992378964677612E-2"/>
                  <c:y val="0.32223493115992252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30533678019163446"/>
                  <c:y val="0.23711267670488537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6732489011162768"/>
                  <c:y val="0.46351890224248526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4.3568763241944163E-2"/>
                  <c:y val="0.18878224432472354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1.2715270530942666E-2"/>
                  <c:y val="5.5781553621586794E-2"/>
                </c:manualLayout>
              </c:layout>
              <c:numFmt formatCode="General" sourceLinked="0"/>
            </c:trendlineLbl>
          </c:trendline>
          <c:val>
            <c:numRef>
              <c:f>Лист4!$N$233:$N$253</c:f>
              <c:numCache>
                <c:formatCode>General</c:formatCode>
                <c:ptCount val="21"/>
                <c:pt idx="0">
                  <c:v>1433</c:v>
                </c:pt>
                <c:pt idx="1">
                  <c:v>2811</c:v>
                </c:pt>
                <c:pt idx="2">
                  <c:v>4133</c:v>
                </c:pt>
                <c:pt idx="3">
                  <c:v>5213</c:v>
                </c:pt>
                <c:pt idx="4">
                  <c:v>5886</c:v>
                </c:pt>
                <c:pt idx="5">
                  <c:v>6551</c:v>
                </c:pt>
                <c:pt idx="6">
                  <c:v>7202</c:v>
                </c:pt>
                <c:pt idx="7">
                  <c:v>7846</c:v>
                </c:pt>
                <c:pt idx="8">
                  <c:v>8446</c:v>
                </c:pt>
                <c:pt idx="9">
                  <c:v>8971</c:v>
                </c:pt>
                <c:pt idx="10">
                  <c:v>9493</c:v>
                </c:pt>
                <c:pt idx="11">
                  <c:v>10009</c:v>
                </c:pt>
                <c:pt idx="12">
                  <c:v>10518</c:v>
                </c:pt>
                <c:pt idx="13">
                  <c:v>10933</c:v>
                </c:pt>
                <c:pt idx="14">
                  <c:v>11267</c:v>
                </c:pt>
                <c:pt idx="15">
                  <c:v>11565</c:v>
                </c:pt>
                <c:pt idx="16">
                  <c:v>11827</c:v>
                </c:pt>
                <c:pt idx="17">
                  <c:v>12088</c:v>
                </c:pt>
                <c:pt idx="18">
                  <c:v>12225</c:v>
                </c:pt>
                <c:pt idx="19">
                  <c:v>12343</c:v>
                </c:pt>
                <c:pt idx="20">
                  <c:v>12459</c:v>
                </c:pt>
              </c:numCache>
            </c:numRef>
          </c:val>
        </c:ser>
        <c:marker val="1"/>
        <c:axId val="92320128"/>
        <c:axId val="92321664"/>
      </c:lineChart>
      <c:catAx>
        <c:axId val="92320128"/>
        <c:scaling>
          <c:orientation val="minMax"/>
        </c:scaling>
        <c:axPos val="b"/>
        <c:tickLblPos val="nextTo"/>
        <c:crossAx val="92321664"/>
        <c:crosses val="autoZero"/>
        <c:auto val="1"/>
        <c:lblAlgn val="ctr"/>
        <c:lblOffset val="100"/>
      </c:catAx>
      <c:valAx>
        <c:axId val="92321664"/>
        <c:scaling>
          <c:orientation val="minMax"/>
        </c:scaling>
        <c:axPos val="l"/>
        <c:numFmt formatCode="General" sourceLinked="1"/>
        <c:tickLblPos val="nextTo"/>
        <c:crossAx val="92320128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layout>
        <c:manualLayout>
          <c:xMode val="edge"/>
          <c:yMode val="edge"/>
          <c:x val="0.37062489063867265"/>
          <c:y val="4.1775445467693045E-2"/>
        </c:manualLayout>
      </c:layout>
      <c:txPr>
        <a:bodyPr/>
        <a:lstStyle/>
        <a:p>
          <a:pPr>
            <a:defRPr sz="900"/>
          </a:pPr>
          <a:endParaRPr lang="ru-RU"/>
        </a:p>
      </c:txPr>
    </c:title>
    <c:plotArea>
      <c:layout/>
      <c:lineChart>
        <c:grouping val="standard"/>
        <c:ser>
          <c:idx val="0"/>
          <c:order val="0"/>
          <c:tx>
            <c:strRef>
              <c:f>Лист4!$F$430</c:f>
              <c:strCache>
                <c:ptCount val="1"/>
                <c:pt idx="0">
                  <c:v>LN  КN(F=1)</c:v>
                </c:pt>
              </c:strCache>
            </c:strRef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-0.55162445319335496"/>
                  <c:y val="0.10791990079154053"/>
                </c:manualLayout>
              </c:layout>
              <c:numFmt formatCode="General" sourceLinked="0"/>
            </c:trendlineLbl>
          </c:trendline>
          <c:trendline>
            <c:trendlineType val="log"/>
            <c:dispRSqr val="1"/>
            <c:dispEq val="1"/>
            <c:trendlineLbl>
              <c:layout>
                <c:manualLayout>
                  <c:x val="-0.16722178477690294"/>
                  <c:y val="0.12292397417159127"/>
                </c:manualLayout>
              </c:layout>
              <c:numFmt formatCode="General" sourceLinked="0"/>
            </c:trendlineLbl>
          </c:trendline>
          <c:trendline>
            <c:trendlineType val="poly"/>
            <c:order val="2"/>
            <c:dispRSqr val="1"/>
            <c:dispEq val="1"/>
            <c:trendlineLbl>
              <c:layout>
                <c:manualLayout>
                  <c:x val="-0.47186067366579426"/>
                  <c:y val="0.317876053020828"/>
                </c:manualLayout>
              </c:layout>
              <c:numFmt formatCode="General" sourceLinked="0"/>
            </c:trendlineLbl>
          </c:trendline>
          <c:trendline>
            <c:trendlineType val="power"/>
            <c:dispRSqr val="1"/>
            <c:dispEq val="1"/>
            <c:trendlineLbl>
              <c:layout>
                <c:manualLayout>
                  <c:x val="-0.21115244969378827"/>
                  <c:y val="-0.14861642136841446"/>
                </c:manualLayout>
              </c:layout>
              <c:numFmt formatCode="General" sourceLinked="0"/>
            </c:trendlineLbl>
          </c:trendline>
          <c:trendline>
            <c:trendlineType val="exp"/>
            <c:dispRSqr val="1"/>
            <c:dispEq val="1"/>
            <c:trendlineLbl>
              <c:layout>
                <c:manualLayout>
                  <c:x val="-0.59588845144356961"/>
                  <c:y val="-0.14165384712379889"/>
                </c:manualLayout>
              </c:layout>
              <c:numFmt formatCode="General" sourceLinked="0"/>
            </c:trendlineLbl>
          </c:trendline>
          <c:trendline>
            <c:trendlineType val="poly"/>
            <c:order val="3"/>
            <c:dispRSqr val="1"/>
            <c:dispEq val="1"/>
            <c:trendlineLbl>
              <c:layout>
                <c:manualLayout>
                  <c:x val="8.4866579177603763E-3"/>
                  <c:y val="0.28198425690692847"/>
                </c:manualLayout>
              </c:layout>
              <c:numFmt formatCode="General" sourceLinked="0"/>
            </c:trendlineLbl>
          </c:trendline>
          <c:val>
            <c:numRef>
              <c:f>Лист4!$F$431:$F$456</c:f>
              <c:numCache>
                <c:formatCode>General</c:formatCode>
                <c:ptCount val="26"/>
                <c:pt idx="0">
                  <c:v>8.0120182391590724</c:v>
                </c:pt>
                <c:pt idx="1">
                  <c:v>8.6842318913456751</c:v>
                </c:pt>
                <c:pt idx="2">
                  <c:v>9.0502889838279561</c:v>
                </c:pt>
                <c:pt idx="3">
                  <c:v>9.3176689497287075</c:v>
                </c:pt>
                <c:pt idx="4">
                  <c:v>9.4484119438746159</c:v>
                </c:pt>
                <c:pt idx="5">
                  <c:v>9.5554183300693989</c:v>
                </c:pt>
                <c:pt idx="6">
                  <c:v>9.6485307846970159</c:v>
                </c:pt>
                <c:pt idx="7">
                  <c:v>9.7303833847916419</c:v>
                </c:pt>
                <c:pt idx="8">
                  <c:v>9.7926118561901916</c:v>
                </c:pt>
                <c:pt idx="9">
                  <c:v>9.8295180323359528</c:v>
                </c:pt>
                <c:pt idx="10">
                  <c:v>9.8646947478169746</c:v>
                </c:pt>
                <c:pt idx="11">
                  <c:v>9.8979723718480201</c:v>
                </c:pt>
                <c:pt idx="12">
                  <c:v>9.9298373278589267</c:v>
                </c:pt>
                <c:pt idx="13">
                  <c:v>9.9586383970009766</c:v>
                </c:pt>
                <c:pt idx="14">
                  <c:v>9.9831763514374963</c:v>
                </c:pt>
                <c:pt idx="15">
                  <c:v>10.006991345550768</c:v>
                </c:pt>
                <c:pt idx="16">
                  <c:v>10.02998803614547</c:v>
                </c:pt>
                <c:pt idx="17">
                  <c:v>10.052166144907504</c:v>
                </c:pt>
                <c:pt idx="18">
                  <c:v>10.069891425857708</c:v>
                </c:pt>
                <c:pt idx="19">
                  <c:v>10.083932349317276</c:v>
                </c:pt>
                <c:pt idx="20">
                  <c:v>10.096295600054219</c:v>
                </c:pt>
                <c:pt idx="21">
                  <c:v>10.107040454085334</c:v>
                </c:pt>
                <c:pt idx="22">
                  <c:v>10.117630721653038</c:v>
                </c:pt>
                <c:pt idx="23">
                  <c:v>10.123145034565505</c:v>
                </c:pt>
                <c:pt idx="24">
                  <c:v>10.127870335685289</c:v>
                </c:pt>
                <c:pt idx="25">
                  <c:v>10.132493884118714</c:v>
                </c:pt>
              </c:numCache>
            </c:numRef>
          </c:val>
        </c:ser>
        <c:marker val="1"/>
        <c:axId val="92353664"/>
        <c:axId val="92355200"/>
      </c:lineChart>
      <c:catAx>
        <c:axId val="92353664"/>
        <c:scaling>
          <c:orientation val="minMax"/>
        </c:scaling>
        <c:axPos val="b"/>
        <c:tickLblPos val="nextTo"/>
        <c:crossAx val="92355200"/>
        <c:crosses val="autoZero"/>
        <c:auto val="1"/>
        <c:lblAlgn val="ctr"/>
        <c:lblOffset val="100"/>
      </c:catAx>
      <c:valAx>
        <c:axId val="92355200"/>
        <c:scaling>
          <c:orientation val="minMax"/>
        </c:scaling>
        <c:axPos val="l"/>
        <c:numFmt formatCode="General" sourceLinked="1"/>
        <c:tickLblPos val="nextTo"/>
        <c:crossAx val="92353664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8389</Words>
  <Characters>47823</Characters>
  <Application>Microsoft Office Word</Application>
  <DocSecurity>0</DocSecurity>
  <Lines>398</Lines>
  <Paragraphs>112</Paragraphs>
  <ScaleCrop>false</ScaleCrop>
  <Company/>
  <LinksUpToDate>false</LinksUpToDate>
  <CharactersWithSpaces>56100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папашка</dc:creator>
  <cp:keywords/>
  <dc:description/>
  <cp:lastModifiedBy>папашка</cp:lastModifiedBy>
  <cp:revision>2</cp:revision>
  <dcterms:created xsi:type="dcterms:W3CDTF">2014-03-26T08:40:00Z</dcterms:created>
  <dcterms:modified xsi:type="dcterms:W3CDTF">2014-03-26T08:40:00Z</dcterms:modified>
</cp:coreProperties>
</file>